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525 vom 8. August 2013</w:t>
      </w:r>
    </w:p>
    <w:p>
      <w:r>
        <w:t>VD Tribunal cantonal, 2013-08-08, FR</w:t>
      </w:r>
    </w:p>
    <w:p>
      <w:r>
        <w:rPr>
          <w:b/>
        </w:rPr>
        <w:t xml:space="preserve">Quelle: </w:t>
      </w:r>
      <w:r>
        <w:t>https://mcp.opencaselaw.ch/entscheid/vd_findinfo_HC___2013___525</w:t>
      </w:r>
    </w:p>
    <w:p>
      <w:r>
        <w:t>FR: VD_FINDINFO HC / 2013 / 525 du 8 août 2013</w:t>
      </w:r>
    </w:p>
    <w:p>
      <w:r>
        <w:t>IT: VD_FINDINFO HC / 2013 / 525 del 8 agosto 2013</w:t>
      </w:r>
    </w:p>
    <w:p>
      <w:pPr>
        <w:pStyle w:val="Heading2"/>
      </w:pPr>
      <w:r>
        <w:t>Regeste</w:t>
      </w:r>
    </w:p>
    <w:p>
      <w:r>
        <w:t>OBLIGATION D'ENTRETIEN, ENFANT, MESURE PROVISIONNELLE, REVENU HYPOTHÉTIQUE | 285 CC</w:t>
      </w:r>
    </w:p>
    <w:p>
      <w:pPr>
        <w:pStyle w:val="Heading2"/>
      </w:pPr>
      <w:r>
        <w:t>Erwägungen</w:t>
      </w:r>
    </w:p>
    <w:p>
      <w:r>
        <w:rPr>
          <w:b/>
        </w:rPr>
        <w:t>E. 1</w:t>
      </w:r>
    </w:p>
    <w:p>
      <w:r>
        <w:t>CPC). L’appel est de la compétence du juge unique (art. 84 al. 2 LOJV [loi d’organisation judiciaire du 12 décembre 1979; RSV 173.01]). En l'espèce, formé en temps utile par une partie qui y a intérêt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w:t>
      </w:r>
    </w:p>
    <w:p>
      <w:r>
        <w:rPr>
          <w:b/>
        </w:rPr>
        <w:t>E. 3</w:t>
      </w:r>
    </w:p>
    <w:p>
      <w:r>
        <w:t>a) L'appelant fait grief au premier juge de lui avoir imputé un revenu hypothétique. D'une part, il prétend avoir tout mis en œuvre afin de trouver un emploi, en particulier en postulant pour des emplois sans lien avec sa formation, et d'autre part, il soutient qu'il est en incapacité de travailler en raison de ses problèmes de santé de sorte que l'on ne peut exiger de lui qu'il exerce une activité lucrative. S'agissant du montant du revenu hypothétique de 5'000 fr., il reproche au premier juge ne pas avoir mentionné l'activité dans laquelle il serait en mesure de percevoir un tel montant. b/aa) Selon l'article 285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(al. 2). La contribution d'entretien doit être versée d'avance, aux époques fixées par le juge (al. 3).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in SJ 2007 II 77 ss, spéc. p. 107 s.; RSJ 1984 p. 392 n° 4 et note p. 393; Meier/Stettler, Droit de la filiation, 4ème éd., Zurich 2009, n. 978, pp. 567-568; TF 5A_84/2007 du 18 septembre 2007 c. 5.1). Il s'agit là d'un taux approximatif qui doit être pondéré au vu des circonstances, selon l'équité (ATF 107 II 406 c. 2c; RSJ 1984 p. 392 n° 4 précité; Meier/Stettler, ibidem). Le Tribunal fédéral a admis la méthode dite "des pourcentages" pour autant que la pension reste en rapport avec le niveau de vie et la capacité contributive du débiteur (TF 5A_178/2008 du 23 avril 2008 c. 3.3; TF 5A_84/2007 du 18 septembre 2007 c. 5.1 et les réf.cit.). bb)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publié in FamPra.ch 2012, p. 228; TF 5A_860/2011 du 11 juin 2012 c. 4.1).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JT 2011 II 486; TF 5A_21/2012 du 3 mai 2012 c. 3.3). Les parents doivent ainsi s'adapter tant du point de vue professionnel que du point de vue spatial pour épuiser de manière maximale leur capacité de travail (TF 5A_513/2012 du 17 octobre 2012 c. 5.)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JT 2011 II 486; TF, 5A_588/2010 du 12 janvier 2011 c. 2.3).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p. 673). Il en va de même de l'octroi d'un revenu d'insertion (CACI 12 décembre 2012/574 c.4.1). Le minimum vital du débirentier au sens du droit des poursuites doit en principe être garanti (ATF 127 III 68, JT 2001 I 562 c. 2c). Lorsqu'un revenu hypothétique est admis, c'est au regard de ce revenu qu'il doit être examiné si le minimum vital du débiteur est sauvegardé (ATF 123 III 1 c.3) c) L’appelant considère que le premier juge s’est livré à une constatation erronée des faits lorsqu’il a retenu que les recherches d’emploi n’ont été effectuées que dans son domaine de formation. Or, le premier juge a constaté que les recherches d’emploi se sont majoritairement cantonnées à des postes de laborantin. Le terme majoritaire n’est pas synonyme d’exclusif. L’appelant lui-même n’en disconvient pas et il ressort effectivement du dossier qu'une très grande partie des recherches effectuées par celui-ci est en lien avec son domaine de formation. En persistant à se concentrer essentiellement sur des postes de travail en relation avec son activité antérieure, malgré les nombreux refus, sans effectuer de recherches sérieuses dans d'autres domaines, l'appelant n'a pas fourni les efforts que l'on pouvait attendre de lui afin de retrouver une activité lucrative. Âgé de 51 ans, l’appelant a une formation de laborantin, activité qu’il a exercée jusqu’en mai 2011. On peut aisément s’imaginer que, de formation plutôt intellectuelle que manuelle, l’appelant puisse donner satisfaction dans plusieurs domaines d’activité comme par exemple un travail de bureau qui serait certes moins qualifié que le poste qu’il occupait par le passé, mais qui pourrait lui assurer un revenu moyen de 5’000 fr., tel que retenu par le premier juge, soit un salaire correspondant aux données de l'Office fédéral de la statistique selon lesquelles, le salaire mensuel moyen en Suisse est de 5'267 fr. brut pour des activités simples et répétitives sans domaine particulier et même de l'ordre 6'800 fr. pour un homme effectuant des tâches de secrétariat ou de chancellerie dans l'arc lémanique (http://www.bfs.admin.ch/bfs/portal/fr/index/themen/03/04/blank/key/lohnstruktur/nach_taetigkeiten.html; 22. Secrétariat. Travaux de chancellerie; activité simple et répétitive, Hommes). Quant aux troubles incapacitants dont l'appelant prétend souffrir, il ne les étaye nullement par une pièce qui attesterait son incapacité de travailler. On observe à cet égard qu’aucune démarche n’a été effectuée auprès de l'assurance invalidité. En l’état, même si l’appelant rencontre des difficultés personnelles, rien ne permet d’affirmer que ces difficultés sont telles que l’on ne peut pas exiger de lui qu’il travaille. Dans ces conditions, c'est à juste titre que le premier juge a considéré que l'appelant était capable d'exercer une activité lucrative. Enfin, l'appelant étant en mesure de réaliser un revenu de 5'000 fr. pour un travail de bureau et ses charges incompressibles s'élevant tout au plus à 3'189 fr. selon la décision fixant son revenu d'insertion, la contribution d'entretien arrêtée à 700 fr., en application de la méthode jurisprudentielle dite des pourcentages, n'entame manifestement pas son minimum vital.</w:t>
      </w:r>
    </w:p>
    <w:p>
      <w:r>
        <w:rPr>
          <w:b/>
        </w:rPr>
        <w:t>E. 4</w:t>
      </w:r>
    </w:p>
    <w:p>
      <w:r>
        <w:t>L’appelant critique encore la motivation subsidiaire du premier juge et soutient qu'on ne saurait tenir compte des montants versés par sa mère car cela reviendrait à mettre indirectement la contribution d'entretien à la charge de celle-ci. Il conteste en particulier le calcul auquel s’est livré le premier juge afin d'arrêter un revenu mensuel moyen de 4'877 fr. pour le début de l’année 2013. En l'espèce, le premier juge a retenu que l'appelant avait reçu un montant de 69'000 fr. en 2012 de la part de sa mère et de 5'000 fr. en 2013, ce qui n'est pas contesté. L'appelant se borne à affirmer que le calcul du premier juge serait faux sans apporter aucune motivation, ce qui contrevient ici à l’art. 311 CPC qui exige que l’appel soit motivé. On ne comprend dès lors pas en quoi ce calcul serait inexact. De toute manière, l'appelant étant en mesure de réaliser un revenu de 5'000 fr., la question de savoir s'il y a lieu de tenir compte des montants que lui verse sa mère peut demeurer indécise. En effet, il appartient à l'appelant de décider s'il veut subvenir à l'entretien de son fils en exerçant une activité lucrative ou, à défaut, en continuant de percevoir des montants de la part de sa mère lui permettant de compléter son revenu d'insertion.</w:t>
      </w:r>
    </w:p>
    <w:p>
      <w:r>
        <w:rPr>
          <w:b/>
        </w:rPr>
        <w:t>E. 5</w:t>
      </w:r>
    </w:p>
    <w:p>
      <w:r>
        <w:t>En conclusion, l'appel doit être rejeté en application de l'art. 312 al. 1 CPC et l'ordonnance entreprise confirmée. Les frais judiciaires, arrêtés à 600 fr. (art. 65 al. 2 TFJC [tarif des frais judiciaires civils du 28 septembre 2010; RSV 270.11.5]), doivent être mis à la charge de l'appelant qui succombe (art. 106 al. 1 CPC). Compte tenu de ce que l'appelant n'a d'une part pas démontré avoir sérieusement cherché un travail en dehors de sa profession et, d'autre part, aucunement établi être en incapacité de travailler, il y a lieu de considérer que l’appel était dénué de chance de succès au sens de l’art. 117 let. b CPC et le bénéfice de l’assistance judiciaire doit lui être refusé. L'intimée n'ayant pas été invitée à déposer de réponse, il n'y a pas lieu de lui allouer des dépens. Par ces motifs, le juge délégué de la Cour d’appel civile du Tribunal cantonal, statuant à huis clos, en application de l'art. 312 al. 1 CPC, prononce : I. L’appel est rejeté. II. L’ordonnance est confirmée. III. La requête d’assistance judiciaire est rejetée. IV. Les frais judiciaires de deuxième instance, arrêtés à 600 fr. (six cents francs), sont mis à la charge de l’appelant M. Q.________. V. L’arrêt motivé est exécutoire. Le juge délégué : Le greffier : Du</w:t>
      </w:r>
    </w:p>
    <w:p>
      <w:r>
        <w:rPr>
          <w:b/>
        </w:rPr>
        <w:t>E. 9</w:t>
      </w:r>
    </w:p>
    <w:p>
      <w:r>
        <w:t>août 2013 Le dispositif de l'arrêt qui précède est communiqué par écrit aux intéressés. Le greffier : Du L'arrêt qui précède, dont la rédaction a été approuvée à huis clos, est notifié en expédition complète, par l'envoi de photocopies, à : ‑ Me Raphaël Tatti (pour M. Q.________), ‑ Me Alix de Courten (pour Mme Q.________). Le juge délégué de la Cour d’appel civile considère que la valeur litigieuse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