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500 vom 16. Juli 2013</w:t>
      </w:r>
    </w:p>
    <w:p>
      <w:r>
        <w:t>VD Tribunal cantonal, 2013-07-16, FR</w:t>
      </w:r>
    </w:p>
    <w:p>
      <w:r>
        <w:rPr>
          <w:b/>
        </w:rPr>
        <w:t xml:space="preserve">Quelle: </w:t>
      </w:r>
      <w:r>
        <w:t>https://mcp.opencaselaw.ch/entscheid/vd_findinfo_HC___2013___500</w:t>
      </w:r>
    </w:p>
    <w:p>
      <w:r>
        <w:t>FR: VD_FINDINFO HC / 2013 / 500 du 16 juillet 2013</w:t>
      </w:r>
    </w:p>
    <w:p>
      <w:r>
        <w:t>IT: VD_FINDINFO HC / 2013 / 500 del 16 luglio 2013</w:t>
      </w:r>
    </w:p>
    <w:p>
      <w:pPr>
        <w:pStyle w:val="Heading2"/>
      </w:pPr>
      <w:r>
        <w:t>Regeste</w:t>
      </w:r>
    </w:p>
    <w:p>
      <w:r>
        <w:t>INDEMNITÉ{EN GÉNÉRAL}, ASSISTANCE JUDICIAIRE | 122 al. 1 let. a CPC (CH), 2 al. 1 RAJ, 69 al. 3 TFJC (2010), 70 al. 3 TFJC (2010)</w:t>
      </w:r>
    </w:p>
    <w:p>
      <w:pPr>
        <w:pStyle w:val="Heading2"/>
      </w:pPr>
      <w:r>
        <w:t>Erwägungen</w:t>
      </w:r>
    </w:p>
    <w:p>
      <w:r>
        <w:rPr>
          <w:b/>
        </w:rPr>
        <w:t>E. 1</w:t>
      </w:r>
    </w:p>
    <w:p>
      <w:r>
        <w:t>Selon l'art. 319 let. b ch. 1 CPC (Code de procédure civile du 19 décembre 2008 ; RS 272)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 p. 503).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621- 622).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TF 6B_273/2009 du 2 juillet 2009 c. 2.1 ; TF 6B_960/2008 du 22 janvier 2009 c. 1.1 ;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 TF 6B_102/2009 du 14 avril 2009 c. 2 ; TF 6B_960/2008 du 22 janvier 2009 c. 1.1 ;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p. 715 ; ATF 122 l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b) Comme retenu par la Cour de céans dans un arrêt récent (CREC 25 janvier 2013/29), on ne peut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Cet examen s’impose d’autant plus que le client d’office n’a pas la qualité pour recourir au Tribunal fédéral contre la fixation de dite indemnité, vu qu’il est comptable vis-à-vis de l’Etat des montants que ce dernier a versés à son défenseur (Donzallaz, op. cit., n. 1780 ad art. 64 LTF, p. 718 ; TF 5P.135/2005 et les références aux ATF 108 Ia 11 c. 1 ; ATF 122 I 322 c. 3b). D’un point de vue procédural, on doit toutefois constater que, le plus souvent, le client d’office ne participe pas à la procédure à l’issue de laquelle l’indemnité d’office est fixée, de sorte qu’il est empêché à ce stade d’invoquer des manquements de son conseil. On peut dès lors se demander s’il ne devrait pas à tout coup être interpellé par le juge de première instance. Quoi qu’il en soit, lorsque cette interpellation n’a pas eu lieu, dès lors que le pouvoir d’examen de la Chambre des recours civile est restreint quant aux faits et la production de pièces nouvelles prohibée, seule une annulation est de nature à permettre que soient pris en considération des manquements susceptibles de réduire la rémunération de l’avocat d’office. En l’espèce, la décision n’est attaquée que par le conseil d’office, alors même qu’elle a été communiquée à la cliente A.Z.________. La question d’un renvoi pour permettre à celle-ci d’exposer d’éventuels griefs ne se pose donc pas. c) Il convient donc d’examiner les griefs soulevés par le recourant. Celui-ci fait valoir qu’il a dû accomplir un travail accru dans la mesure où sa cliente, de nationalité américaine, ne maîtrisait pas le français, exigeait que des traductions en anglais de toutes les opérations de la procédure lui soient communiquées et que des explications lui soient fournies en raison de ses nombreuses incompréhensions de la procédure. L’avocat justifie également le temps consacré au dossier par les nombreuses démarches qui ont dû être entreprises afin d’établir le revenu de B.Z.________, lequel ne collaborait pas à l’établissement des preuves dans le cadre de la procédure. Il ressort de la liste des opérations que de nombreux contacts ont dû avoir lieu avec la cliente compte tenu de sa méconnaissance du français. De nombreux courriels ont également été échangés entre l’avocat et sa cliente pour tenir celle-ci informée de l’état d’avancement de la procédure et des opérations en cours. On peut également donner acte au recourant de ce que la cause a présenté pour lui des difficultés en ce qui concerne la preuve du revenu de la partie adverse, puisque, comme cela ressort du dossier de première instance, de nombreuses pièces et réquisitions de production ont du être déposées ou produites. Il n’en reste pas moins que le temps consacré par le recourant, respectivement son stagiaire, à la défense des intérêts de sa cliente s’avère excessif compte tenu de son obligation de maintenir le mandat d’office dans un cadre raisonnable. Ainsi, si le recourant a dû, outre participer à deux courtes audiences, rédiger une réponse de treize pages et une requête de mesures provisionnelles de seize pages – écritures qui ne présentent pas un degré de complexité élevé ayant essentiellement trait à l’invocation du revenu de la partie adverse –, il y a consacré un temps disproportionné. On constate en effet que le temps de préparation de ces opérations (notamment 4h40 de recherches, 3h20 de « prise de connaissance », 14h15 de rédaction, 6h30 de projet et 3h50 de « finalisation »), par environ 32 h 15, dépasse ce qui doit normalement y être consacré s’agissant d’un procès ordinaire portant sur la fixation de contributions d’entretien. Le seul fait que la partie adverse ne collaborait pas en ce qui concerne l’établissement des faits relatifs à son revenu, ne saurait suffire à expliquer le temps supplémentaire consacré à ces opérations. De même, le fait que sa cliente ait eu des exigences particulières, compte tenu de sa méconnaissance du français, justifiait certes des prestations accrues de l’avocat mais pas au point qu’il se mue en soutien illimité de celle-ci. Il incombait plutôt à l’avocat de restreindre ses contacts avec sa cliente à ce qui était strictement nécessaire de par la procédure. D’ailleurs, l’avocat admet lui-même qu’il a tenté de mettre un frein aux requêtes incessantes de sa cliente, mais en vain (recours, all. 19). Si sa cliente n’acceptait pas que ses prestations soient ramenées à une juste proportion, il appartenait au recourant, eu égard à son obligation de maintenir le mandat d’office dans un cadre raisonnable, de le lui imposer ou, cas échéant, de demander à être relevé de son mandat, ce qu’il a d’ailleurs fait par la suite. En particulier, on relèvera qu’il ne se justifiait pas que chaque ligne de procédure soit traduite en anglais à l’attention de sa cliente et que celle-ci puisse se montrer « intransigeante » (recours, all. 14) à ce sujet ; un résumé oral en anglais aurait suffi, la cliente devant être renvoyée pour le surplus à faire traduire elle-même à ses frais certains actes de la procédure si elle le souhaitait. Dès lors, les 24 heures et 5 minutes consacrées à ce titre s’avèrent nettement excessives. Finalement, on relèvera que ce n’était pas non plus la tâche de l’avocat de fournir à sa cliente des explications exhaustives au sujet de la procédure, son mandat devant se limiter à défendre les intérêts de sa cliente et non à lui expliquer les rouages de la procédure civile suisse. Compte tenu des éléments qui précèdent, l’avocat, respectivement son stagiaire, ont consacré un temps trop important à certaines opérations. Le premier juge a estimé le temps qui aurait dû être consacré à l’accomplissement du mandat d’office de A.Z.________ à 25 heures et 45 minutes pour l’avocat, à savoir le temps allégué par celui-ci, et 50 heures pour son stagiaire, à savoir quelque 40% du temps allégué. Cette estimation ne prête pas le flanc à la critique. En effet, on ne saurait admettre, eu égard à la nature et à la complexité de la procédure, que le mandat d’office ait nécessité plus de 50 heures d’avocat-stagiaire. Dès lors, en comptabilisant quelque 25 heures et le double pour son stagiaire, le premier juge a correctement évalué le temps consacré aux opérations nécessaires au mandat d’office et n’a commis aucun abus de son pouvoir d’appréciation.</w:t>
      </w:r>
    </w:p>
    <w:p>
      <w:r>
        <w:rPr>
          <w:b/>
        </w:rPr>
        <w:t>E. 4</w:t>
      </w:r>
    </w:p>
    <w:p>
      <w:r>
        <w:t>a) En définitive, le recours doit être rejeté en application de l’art. 322 al. 1 CPC et le prononcé confirmé. b) Aux termes de l’art. 69 al. 3 TFJC (tarif des frais judiciaires civils du 28 septembre 2010 ; RSV 270.11.5), pour un recours contre une décision en matière d’assistance judiciaire, l’émolument forfaitaire de décision correspond à 1% de la valeur litigieuse, mais au minimum 100 francs et au maximum 1'000 francs. La valeur litigieuse déterminante pour le calcul de l’émolument pour les recours en matière de frais et d’assistance judiciaire est celle du montant des frais litigieux en deuxième instance (art. 70 al. 3 TFJC). En l’espèce, compte tenu du fait que la valeur litigieuse s’élève à 8'563 fr. (20'478.85 - 11'915.85), l’émolument forfaitaire de décision doit être arrêté à 100 fr. (cf. art. 69 al. 3 TFJC). c) Le recours étant rejeté, les frais judiciaires de deuxième instance, arrêtés à 100 fr., sont mis à la charge du recourant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U.________. IV. L’arrêt motivé est exécutoire. Le président :               Le greffier : Du 16 juillet 2013 Le dispositif de l'arrêt qui précède est communiqué par écrit aux intéressés. Le greffier : Du L'arrêt qui précède, dont la rédaction a été approuvée à huis clos, est notifié en expédition complète, par l'envoi de photocopies, à : ‑ Me U.________, ‑ Mme A.Z.________. La Chambre des recours civile considère que la valeur litigieuse est de 8'563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