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495 vom 21. Juni 2013</w:t>
      </w:r>
    </w:p>
    <w:p>
      <w:r>
        <w:t>VD Tribunal cantonal, 2013-06-21, FR</w:t>
      </w:r>
    </w:p>
    <w:p>
      <w:r>
        <w:rPr>
          <w:b/>
        </w:rPr>
        <w:t xml:space="preserve">Quelle: </w:t>
      </w:r>
      <w:r>
        <w:t>https://mcp.opencaselaw.ch/entscheid/vd_findinfo_HC___2013___495</w:t>
      </w:r>
    </w:p>
    <w:p>
      <w:r>
        <w:t>FR: VD_FINDINFO HC / 2013 / 495 du 21 juin 2013</w:t>
      </w:r>
    </w:p>
    <w:p>
      <w:r>
        <w:t>IT: VD_FINDINFO HC / 2013 / 495 del 21 giugno 2013</w:t>
      </w:r>
    </w:p>
    <w:p>
      <w:pPr>
        <w:pStyle w:val="Heading2"/>
      </w:pPr>
      <w:r>
        <w:t>Regeste</w:t>
      </w:r>
    </w:p>
    <w:p>
      <w:r>
        <w:t>DROIT DE LA FONCTION PUBLIQUE, CALCUL, SALAIRE, ÉGALITÉ DE TRAITEMENT, INTERDICTION DE L'ARBITRAIRE | 8 Cst., 9 Cst., 23 LPers-VD</w:t>
      </w:r>
    </w:p>
    <w:p>
      <w:pPr>
        <w:pStyle w:val="Heading2"/>
      </w:pPr>
      <w:r>
        <w:t>Erwägungen</w:t>
      </w:r>
    </w:p>
    <w:p>
      <w:r>
        <w:rPr>
          <w:b/>
        </w:rPr>
        <w:t>E. 1</w:t>
      </w:r>
    </w:p>
    <w:p>
      <w:r>
        <w:t>a) La présente procédure a été ouverte en première instance avant le 1 er janvier 2011 et concerne l'application de la loi du 12 novembre 2001 sur le personnel de l'Etat de Vaud (ci-après LPers-VD; RSV 172.31), soit du droit public cantonal. Conformément à l'art. 166 al. 2 CDPJ (Code de droit privé judiciaire vaudois du 12 janvier 2010; RSV 211.01), qui déroge à la règle de l'art. 104 CDPJ, les voies de droit sont régies par l'ancien droit de procédure (CREC I 22 septembre 2011/247 c. 1 a; CREC I 29 août 2011/232). b) 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sont applicables (art. 46 al. 2 aLJT). Par renvoi des dispositions susmentionnées (art. 46 al. 2 aLJT et 16 al. 1 LPers-VD), le recours en réforme (art. 451 ch. 2 CPC-VD [Code de procédure civile vaudois du 14 décembre 1966) et le recours en nullité (art. 444 et 445 CPC-VD) sont ouverts. Interjeté en temps utile, le recours est recevable.</w:t>
      </w:r>
    </w:p>
    <w:p>
      <w:r>
        <w:rPr>
          <w:b/>
        </w:rPr>
        <w:t>E. 2</w:t>
      </w:r>
    </w:p>
    <w:p>
      <w:r>
        <w:t>Saisie d'un recours en réforme contre un jugement principal rendu par le Tribunal de prud'hommes de l'Administration cantonale, la Chambre des recours revoit librement la cause en fait et en droit (art. 452 al. 2 CPC-VD, applicable par renvoi des art. 46 al. 2 aLJT et 16 al. 1 aLPers-VD).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w:t>
      </w:r>
    </w:p>
    <w:p>
      <w:r>
        <w:rPr>
          <w:b/>
        </w:rPr>
        <w:t>E. 3</w:t>
      </w:r>
    </w:p>
    <w:p>
      <w:r>
        <w:t>La recourante soutient que l’art. 4 ANPS n’exclut pas la prise en compte de la réalité des fonctions occupées avant l’introduction de DEFCO-SYSREM, ceci d’autant plus que cette disposition vise à valoriser l’expérience acquise par un collaborateur dans un travail donné. Elle relève à cet égard que la promotion dont elle a bénéficié dès le 1 er janvier 2007 était l’expression de la reconnaissance pour la qualité du travail fourni et pour l’autonomie manifestée et que, sans cette promotion, elle aurait été colloquée à l’échelon 4. Conformément à l’art. 23 LPers-VD, les collaborateurs de l’Etat ont droit à une rémunération sous la forme d’un salaire correspondant à la fonction qu’ils occupent en proportion de leur taux d’activité (lettre a) ou sous la forme d’une indemnité ou d’un émolument (let. b). Le Conseil d’Etat arrête l’échelle des salaires et fixe le nombre de classes et leur amplitude (art. 24 al. 1 LPers-VD). Il détermine également les modalités de progression du salaire (augmentation annuelle) à l’intérieur de chaque classe (art. 24 al. 2 LPers-VD). Le Conseil d’Etat définit enfin les fonctions et les évalue (art. 24 al. 3 LPers-VD). Selon l’art. 4 al. 1 ANPS, chaque collaborateur est placé sur un échelon à l’intérieur de la classe de salaire de sa fonction. La formule présentée ci-dessus (let. A p. 4) figure à l’al. 2 de cette disposition. Avec les premiers juges, il y a lieu de relever qu’il résulte de l’examen des données à introduire dans cette formule que les éléments du nouveau traitement n’y jouent aucun rôle, pas plus que l’âge, la formation, l’ancienneté au service de l’Etat, ou l’expérience professionnelle dans son ensemble. Seuls sont déterminants, l’ancien salaire, ainsi que le minimum et le maximum de l’ancienne fonction. La formule de l’art.</w:t>
      </w:r>
    </w:p>
    <w:p>
      <w:r>
        <w:rPr>
          <w:b/>
        </w:rPr>
        <w:t>E. 4</w:t>
      </w:r>
    </w:p>
    <w:p>
      <w:r>
        <w:t>La recourante soutient que le principe de l’égalité de traitement est violé par sa collocation à l’échelon 2 dès lors qu’elle est ainsi traitée à l’identique d’une collègue, dont les années d’expérience dans l’activité du service et de manière générale sont nettement moindres. Elle se réfère au but du système des échelons qui est de prendre en compte l’ancienneté et l’expérience. De la garantie générale de l’égalité de traitement de l’art. 8 al. 1 Cst. (Constitution fédérale du 18 avril 1999 ;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(ATF 129 I 161 c. 3.2) ; elle risque en effet de créer de nouvelles inégalités (ATF 123 I 1 c. 6b ; TF 8C_969/2012 du 2 avril 2013 c. 2.1). Un certain schématisme dans le système de rémunération est admissible pour des raisons pratiques, même s’il n’est pas toujours satisfaisant dans des cas limites (TF 8C_827/2012 du 22 avril 2013 c. 5.3.1, destiné à la publication ; TF 8C_5/2012 du 16 avril 2013 c. 4 ; TF 8C_572/2012 du 11 janvier 2013 c. 3.4.1 ; ATF 121 I 102 c. 4d/aa). En l’espèce, on ne saurait considérer que les avantages conférés à la recourante par sa promotion en 2007, dont elle a bénéficié jusqu’à la bascule, lui aient été retirés. La collègue à laquelle elle se compare a bien plutôt bénéficié du fait que, à la suite de la bascule dans le nouveau système de rémunération, les chargés de recherche ont, tout comme les chefs de projet, été colloqués dans la même fonction de statisticien. La recourante ne remet pas en cause cette dernière classification de fonction. Elle ne saurait en tirer un argument, au regard du principe de l’égalité de traitement, pour obtenir un échelon plus favorable que celui établi conformément à l’art. 4 ANPS. Au demeurant, la recourante n’a pas subi de diminution de son salaire lors du passage dans le nouveau système de rémunération et a au contraire reçu un rattrapage total de l’ordre de 6'712 francs. Dans tous les cas, la nouvelle classification des fonctions avait pour but de diminuer le nombre de celles-ci, de disposer d’une grille facile à consulter et d’attribuer à chaque emploi un niveau de compétence déterminé à partir de la description du métier, du contenu du poste et des critères de la méthode d’évaluation (Exposé des motifs n° 124, novembre 2008, p. 10). Il faut dès lors retenir que c’est l’ensemble de la fonction de statisticien qui a été réévaluée vers le haut, au bénéfice de tous les collaborateurs. Que certains aient pu en bénéficier davantage que d’autres n’est pas constitutif d’inégalité de traitement.</w:t>
      </w:r>
    </w:p>
    <w:p>
      <w:r>
        <w:rPr>
          <w:b/>
        </w:rPr>
        <w:t>E. 5</w:t>
      </w:r>
    </w:p>
    <w:p>
      <w:r>
        <w:t>La recourante invoque le principe de la prohibition de l’arbitraire et fait grief aux premiers juges d’avoir raisonné sur ce point d’une manière générale et abstraite. Elle fait valoir que c’est en raison de sa promotion de 2007, accordée en raison de la qualité de son travail et de son autonomie, qu’elle a été colloquée à l’échelon 2, alors que, sans promotion, l’échelon dont elle aurait bénéficié aurait été l’échelon 4. Elle soutient que ce résultat est absurde et arbitraire. Selon la jurisprudence, l’arbitraire ne résulte pas du fait qu’une autre solution serait envisageable ou même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être taxée d’arbitraire, il ne suffit pas que la décision se fonde sur une motivation insoutenable ; encore faut-il qu’elle apparaisse arbitraire dans son résultat (ATF 136 III 552 c. 4.3 et références). Les premiers juges ont considéré que le fait d’appliquer la même formule mathématique à l’ensemble des statisticiens n’était pas insoutenable, même si la collocation actuelle de certains d’entre eux pourrait paraître plus intéressante que celle de la recourante et qu’au demeurant la méthode GFO choisie par l’intimé, en particulier la méthode de calcul de l’échelon, n’apparaissait pas discriminatoire en tant que telle. Ces considérations, en soi pertinentes, permettent de retenir que la collocation de la recourante n’est pas arbitraire par rapport à ses collègues qui ont été favorisé au moment de la bascule dans le nouveau système de rémunération. En revanche, la décision apparaît arbitraire dans son résultat par rapport à l’évolution professionnelle de la recourante elle-même. En effet, celle-ci se voit prétéritée de manière particulièrement inéquitable par la conjonction de deux mesures, soit l’absence de prise en compte de sa promotion (due à la qualité de son travail et à son autonomie), découlant de la formule adoptée à l’art. 4 al. 2 ANPS, et la fusion de deux anciennes fonctions en celle de statisticien-ne. Il est en effet particulièrement choquant, partant arbitraire, qu’en raison d’une promotion obtenue deux ans auparavant, qui constituait une reconnaissance de la qualité de son travail et de son autonomie, la recourante se trouve pénalisée au moment de la bascule par un classement à un échelon inférieur à celui qu’elle aurait obtenu en n’ayant pas bénéficié d’une telle promotion. Cela ne signifie toutefois pas qu’elle doive nécessairement obtenir la collocation à l’échelon 4, qui aurait été le sien si elle n’avait pas été promue en 2007, pour corriger l’arbitraire constaté ci-dessus et la cour de céans ne saurait priver les parties de la garantie de la double instance cantonale quant à l’examen de la solution retenue. Il convient dès lors d’annuler d’office le jugement en application de l’art. 456a al. 2 CPC-VD et de renvoyer la cause aux premiers juges afin que, après déterminations des parties, ils retiennent une solution rétablissant une certaine équité dans l’évolution du salaire de la recourante dans le nouveau système de rétribution mis en place par DEFCO-SYSREM.</w:t>
      </w:r>
    </w:p>
    <w:p>
      <w:r>
        <w:rPr>
          <w:b/>
        </w:rPr>
        <w:t>E. 6</w:t>
      </w:r>
    </w:p>
    <w:p>
      <w:r>
        <w:t>En conclusion, le recours doit être admis et le jugement annulé, la cause étant renvoyée aux premiers juges pour nouvelle instruction et décision dans le sens des considérants. Les frais de deuxième instance de la recourante sont arrêtés à 400 francs (art. 16 al. 7 LPers-VD ; art. 232 al. 1 et 235a aTFJC [tarif du 4 décembre 1984 des frais judiciaires en matière civile]). Obtenant gain de cause, la recourante a droit à des dépens de deuxième instance, fixés à 2'400 francs. Par ces motifs, la Chambre des recours du Tribunal cantonal, statuant à huis clos, prononce : I. Le recours est admis. II. Le jugement est annulé et la cause est renvoyée au Tribunal de prud’hommes de l’administration cantonale pour nouvelle instruction et décision dans le sens des considérants. III. Les frais de deuxième instance de la recourante sont arrêtés à 400 fr. (quatre cents francs). IV. L’intimé Etat de Vaud doit verser à la recourante W.________ la somme de 2'400 fr. (deux mille quatre cents francs) à titre de dépens de deuxième instance. V. L’arrêt motivé est exécutoire. Le président :               Le greffier : Du 21 juin 2013 Le dispositif de l'arrêt qui précède est communiqué par écrit aux intéressés. Le greffier : Du L'arrêt qui précède, dont la rédaction a été approuvée à huis clos, est notifié en expédition complète, par l'envoi de photocopies, à : ‑ Me Patrick Mangold (pour W.________), ‑ Secrétariat général du Département des finances et relations extérieures, M. Ombelli (pour Etat de Vaud). La Chambre des recours considère que la valeur litigieuse est supérieure à 15’000 francs. Le présent arrêt peut faire l'objet d'un recours en matière de droit public devant le Tribunal fédéral au sens des art. 82 ss LTF (loi du 17 juin 2005 sur le Tribunal fédéral – RS 173.110), dans la mesure où en matière de rapport de service, la valeur litigieuse dépasse 15'000 fr. (art. 85 al. 1 let. b LTF),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