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49 vom 23. November 2012</w:t>
      </w:r>
    </w:p>
    <w:p>
      <w:r>
        <w:t>VD Tribunal cantonal, 2012-11-23, FR</w:t>
      </w:r>
    </w:p>
    <w:p>
      <w:r>
        <w:rPr>
          <w:b/>
        </w:rPr>
        <w:t xml:space="preserve">Quelle: </w:t>
      </w:r>
      <w:r>
        <w:t>https://mcp.opencaselaw.ch/entscheid/vd_findinfo_HC___2013___49</w:t>
      </w:r>
    </w:p>
    <w:p>
      <w:r>
        <w:t>FR: VD_FINDINFO HC / 2013 / 49 du 23 novembre 2012</w:t>
      </w:r>
    </w:p>
    <w:p>
      <w:r>
        <w:t>IT: VD_FINDINFO HC / 2013 / 49 del 23 novembre 2012</w:t>
      </w:r>
    </w:p>
    <w:p>
      <w:pPr>
        <w:pStyle w:val="Heading2"/>
      </w:pPr>
      <w:r>
        <w:t>Regeste</w:t>
      </w:r>
    </w:p>
    <w:p>
      <w:r>
        <w:t>PROTECTION DE L'UNION CONJUGALE, OBLIGATION D'ENTRETIEN, ENFANT, DROIT DE GARDE, COMPÉTENCE INTERNATIONALE, RELATIONS PERSONNELLES | 176 al. 2 CC, 176 al. 3 CC, 273 CC, 4 CC, 46 LDIP, 49 LDIP, 11 CLaH 96, 15 CLaH 96, 5 CLaH 96, 5 par. 2 let. a CL (2007), 271 let. a CPC (CH), 308 al. 1 let. b CPC (CH), 308 al. 2 CPC (CH), 310 CPC (CH), 312 al. 1 CPC (CH), 317 al. 1 CPC (CH)</w:t>
      </w:r>
    </w:p>
    <w:p>
      <w:pPr>
        <w:pStyle w:val="Heading2"/>
      </w:pPr>
      <w:r>
        <w:t>Erwägungen</w:t>
      </w:r>
    </w:p>
    <w:p>
      <w:r>
        <w:rPr>
          <w:b/>
        </w:rPr>
        <w:t>E. 9</w:t>
      </w:r>
    </w:p>
    <w:p>
      <w:r>
        <w:t>Il s'ensuit que l'appel doit être rejeté dans la procédure de l'art. 312 al. 1 CPC et l'ordonnance entreprise confirmée. Les frais de justice de deuxième instance, arrêtés à 600 fr. (art. 65 al. 2 TFJC [tarif des frais judiciaires civils du 28 septembre 2010; RSV 270.11.5]), sont mis à la charge de l'appelant, qui succombe (art. 106 al. 1 CPC). Il n'y a pas lieu d'allouer des dépens de deuxième instance, dès lors que l'intimée n'a pas été invitée à se déterminer sur l'appel.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 M.________. IV. L'arrêt motivé est exécutoire. Le juge délégué : Le greffier : Du 23 novembre 2012 Le dispositif de l'arrêt qui précède est communiqué par écrit aux intéressés. Le greffier : Du L'arrêt qui précède, dont la rédaction a été approuvée à huis clos, est notifié en expédition complète, par l'envoi de photocopies, à : ‑ Me Laurent Savoy (pour M.________), ‑ Me Philippe Ciocca (pour A.O.________).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