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486 vom 19. Juli 2013</w:t>
      </w:r>
    </w:p>
    <w:p>
      <w:r>
        <w:t>VD Tribunal cantonal, 2013-07-19, FR</w:t>
      </w:r>
    </w:p>
    <w:p>
      <w:r>
        <w:rPr>
          <w:b/>
        </w:rPr>
        <w:t xml:space="preserve">Quelle: </w:t>
      </w:r>
      <w:r>
        <w:t>https://mcp.opencaselaw.ch/entscheid/vd_findinfo_HC___2013___486</w:t>
      </w:r>
    </w:p>
    <w:p>
      <w:r>
        <w:t>FR: VD_FINDINFO HC / 2013 / 486 du 19 juillet 2013</w:t>
      </w:r>
    </w:p>
    <w:p>
      <w:r>
        <w:t>IT: VD_FINDINFO HC / 2013 / 486 del 19 luglio 2013</w:t>
      </w:r>
    </w:p>
    <w:p>
      <w:pPr>
        <w:pStyle w:val="Heading2"/>
      </w:pPr>
      <w:r>
        <w:t>Regeste</w:t>
      </w:r>
    </w:p>
    <w:p>
      <w:r>
        <w:t>PROTECTION DE L'UNION CONJUGALE, OBLIGATION D'ENTRETIEN, REVENU HYPOTHÉTIQUE, POUVOIR D'EXAMEN, ALLOCATION FAMILIALE, ALLOCATION DE NAISSANCE | 176 al. 1 ch. 1 CC, 285 al.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spéc. p. 121;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patrimoniales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Dès lors que la cause porte sur la situation d'enfants mineurs, elle est soumise aux maximes inquisitoire illimitée et d'office. Les pièces produites par l'appelant sont dès lors recevables, dans la mesure où elle ne figuraient pas déjà au dossier de première instance.</w:t>
      </w:r>
    </w:p>
    <w:p>
      <w:r>
        <w:rPr>
          <w:b/>
        </w:rPr>
        <w:t>E. 3</w:t>
      </w:r>
    </w:p>
    <w:p>
      <w:r>
        <w:t>L'appelant conteste les calculs opérés par le premier juge s'agissant de son chiffre d'affaires. Il allègue que celui-ci ne s'élève pas à 87'360 fr. comme retenu par le premier juge sur la base des pièces produites, mais à 81'660 fr., et que c'est à tort que le premier juge a considéré que ce revenu avait été réalisé sur une période de dix mois, puisqu'en réalité, il l'avait été sur une période de seize mois ou, à tout le moins, douze mois. a) Selon l'art. 176 al. 1 ch. 1 CC (Code civil suisse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un partage par moitié ne se justifie ainsi pas si l'un des époux doit subvenir aux besoins d'enfants mineurs (ATF 126 III 8 c. 3c). Selon la jurisprudence, le juge fixe les contributions d'entretien du droit de la famille en se fondant,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b) En l'espèce, l'appelant s'en prend au raisonnement du premier juge uniquement sous l'angle des calculs qu'il a opéré pour établir son chiffre d'affaires et partant, son revenu. Il ne remet pas en cause le raisonnement du premier juge s'agissant du revenu hypothétique de 5'800 fr. net par mois qu'il a estimé, par surabondance, pouvoir lui imputer, dès lors que ce montant serait effectivement réalisable et raisonnablement exigible de lui. Partant, il est inutile d'examiner plus avant les calculs opérés par le premier juge puisqu'indépendamment du résultat obtenu, le revenu de l'appelant doit être fixé hypothétiquement à 5'800 fr., au regard des critères développés par le premier juge, qu'il y a lieu de confirmer. Le grief s'avère ainsi infondé.</w:t>
      </w:r>
    </w:p>
    <w:p>
      <w:r>
        <w:rPr>
          <w:b/>
        </w:rPr>
        <w:t>E. 4</w:t>
      </w:r>
    </w:p>
    <w:p>
      <w:r>
        <w:t>L'appelant conteste encore l'attribution à l'intimée des allocations de naissance. Il prétend que leur sort doit être réglé dans le cadre de la liquidation du régime matrimonial. Il relève également que le premier juge n'a pas tranché le sort des arriérés d'allocations familiales. a) Aux termes de l'art. 285 al. 2 CC, sauf décision contraire du juge, les allocations familiales pour enfants, les rentes d'assurances sociales et d'autres prestations destinées à l'entretien de l'enfant, qui reviennent à la personne tenue de pourvoir à son entretien, doivent être versées en sus de la contribution d'entretien. Les allocations familiales ne doivent en principe pas être retenues dans la capacité contributive du débirentier ou du parent gardien, dès lors que ce sont les enfants qui en sont titulaires (TF 5A_402/2010 du 10 septembre 2010, RMA 2010 p. 451 et réf.). b) En l'occurrence, c'est à bon droit que le premier juge a considéré que les allocations de naissance, consignées auprès de la caisse de compensation, devaient être versées en mains de l'intimée. Les enfants A.________ et Y.________ en sont en effet les titulaires et elles doivent donc être versées au parent gardien. Le même raisonnement doit être tenu s'agissant des allocations familiales, y compris celles non encore versées. Seuls les enfants du couple en sont les titulaires, indépendamment du fait qu'une partie d'entre elles a trait à une période durant laquelle le couple P.________ n'était pas encore séparé. De plus, comme précisé par la jurisprudence, ces prestations ne sont nullement susceptibles d'apporter des modifications à la capacité contributive du débirentier ou du parent gardien. Mal fondés, les griefs de l'appelant sur ces points doivent donc être rejetés. L'ordonnance entreprise ne fait pas mention du sort réservé aux allocations familiales. Il convient donc de compléter d'office le chiffre II du dispositif en ce sens que les allocations familiales sont dues en sus de la pension, ce qui découle déjà de la loi (art. 285 al. 2 CC), et le chiffre III en ce sens que les arriérés d'allocations familiales doivent être versés en mains de la mère.</w:t>
      </w:r>
    </w:p>
    <w:p>
      <w:r>
        <w:rPr>
          <w:b/>
        </w:rPr>
        <w:t>E. 5</w:t>
      </w:r>
    </w:p>
    <w:p>
      <w:r>
        <w:t>En conclusion, l'appel doit être rejeté en application de la procédure de l'art. 312 al. 2 CPC et l'ordonnance entreprise confirmée, sous réserve des compléments apportés d'office aux chiffres II et III de son dispositif mentionnés ci-dessus. La requête d'assistance judiciaire doit être rejetée, l'appel étant dépourvu de chance de succès (art. 117 let. b CPC). Les frais judiciaires de deuxième instance, arrêtés à 600 fr. (art. 65 al. 2 TFJC [tarif des frais judiciaires civils du 28 septembre 2010; RSV 270.11.5]), sont mis à la charge de l'appelant, qui succombe (art. 106 al. 1 CPC). Il n'y a pas lieu à l'allocation de dépens, l'intimée n'ayant pas été invitée à se déterminer. Par ces motifs, la Juge déléguée de la Cour d’appel civile du Tribunal cantonal, statuant à huis clos, en application de l'art. 312 al. 1 CPC, prononce : I. L’appel est rejeté. II. L'ordonnance est réformée d'office aux chiffres II et III comme suit: II. dit que B.P.________ contribuera à l'entretien de sa famille, par le régulier versement d'une pension mensuelle de CHF 3'900.- (trois mille neuf cents francs), payable d'avance le premier de chaque mois sur le compte BCV de N.P.________, née [...], IBAN [...], dès le 1 er juillet 2013, allocations familiales en sus. III. dit que les allocations de naissance dues en faveur d'A.________ et Y.________, nés le 10 décembre 2012, et les allocations familiales due jusqu'au 30 juin 2013, doivent être versées en main de la requérante N.P.________, née [...]. L'ordonnance est maintenue pour le surplus. III. La requête d'assistance judiciaire de l'appelant est rejetée. IV. Les frais judiciaires de deuxièmes instances, arrêtés à 600 fr. (six cents francs), sont mis à la charge de l'appelant B.P.________. V. L'arrêt est exécutoire. La juge déléguée : La greffière : Du L'arrêt qui précède, dont la rédaction a été approuvée à huis clos, est notifié en expédition complète, par l'envoi de photocopies, à : ‑ Me Adrien Gutowski (pour B.P.________), ‑ Me Nicolas Blanc (pour N.P.________).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