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484 vom 8. Juli 2013</w:t>
      </w:r>
    </w:p>
    <w:p>
      <w:r>
        <w:t>VD Tribunal cantonal, 2013-07-08, FR</w:t>
      </w:r>
    </w:p>
    <w:p>
      <w:r>
        <w:rPr>
          <w:b/>
        </w:rPr>
        <w:t xml:space="preserve">Quelle: </w:t>
      </w:r>
      <w:r>
        <w:t>https://mcp.opencaselaw.ch/entscheid/vd_findinfo_HC___2013___484</w:t>
      </w:r>
    </w:p>
    <w:p>
      <w:r>
        <w:t>FR: VD_FINDINFO HC / 2013 / 484 du 8 juillet 2013</w:t>
      </w:r>
    </w:p>
    <w:p>
      <w:r>
        <w:t>IT: VD_FINDINFO HC / 2013 / 484 del 8 luglio 2013</w:t>
      </w:r>
    </w:p>
    <w:p>
      <w:pPr>
        <w:pStyle w:val="Heading2"/>
      </w:pPr>
      <w:r>
        <w:t>Regeste</w:t>
      </w:r>
    </w:p>
    <w:p>
      <w:r>
        <w:t>MESURE PROVISIONNELLE, OBLIGATION D'ENTRETIEN, REVENU D'UNE ACTIVITÉ LUCRATIVE INDÉPENDANTE, PREUVE FACILITÉE | 176 al. 1 ch.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JT 2010 III 121 ; ATF 137 III 475 c. 4.1), dans les causes non patrimoniales ou dans les affaires patrimoniales si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y a intérêt (art. 59 al. 2 let. a CPC)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Dans son mémoire du 24 juin 2013 (p. 9), l’appelant fait valoir plusieurs faits sur l’activité de guide de montagne qui ne sont nullement établis par les éléments au dossier. Ses griefs seront examinés sur la base de l’état de fait exposé sous lettre C ci-dessus.</w:t>
      </w:r>
    </w:p>
    <w:p>
      <w:r>
        <w:rPr>
          <w:b/>
        </w:rPr>
        <w:t>E. 3</w:t>
      </w:r>
    </w:p>
    <w:p>
      <w:r>
        <w:t>a) L’appelant soutient en bref que, pour déterminer les gains qu’il a réalisés, le premier juge se serait borné à suivre un rapport privé établi à la demande de l’intimée par la société X.________Sàrl, dont l’expert serait d’ailleurs un ami proche des parents de son épouse. L’appelant fait valoir que le premier juge se serait contenté d’estimer vaguement ses revenus sur la base de ce rapport en se fondant uniquement sur deux années bénéficiaires, alors qu’il est « évident [qu’il] a bel et bien dû puisé (sic) dans ses maigres économies au cours des années où son activité professionnelle a été déficitaire ». L’appelant se dit étonné que l’on n’ait pas foi dans sa comptabilité, pourtant établie par une fiduciaire agréée, et soutient que seule une expertise comptable neutre permettrait de déterminer ses revenus exacts. Au vu de la comptabilité qu’il a déposée et de ses charges mensuelles incompressibles, l’appelant considère que l’on ne peut raisonnablement pas attendre de lui qu’il contribue à l’entretien de ses enfants par le versement d’un montant mensuel total de 1'000 fr. qui le placerait dans une situation financière inextricable. b) Il convient de relever d’emblée que dans le cadre de mesures provisionnelles ou de mesures protectrices de l'union conjugale,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 TF 5A_720/2009 du 18 janvier 2010 c. 5.3). Ainsi, il ne saurait être question dans une telle procédure de mettre en œuvre une expertise judiciaire afin de déterminer les revenus qu’une partie retire de l’exercice d’une activité indépendante. Le juge se fondera donc notamment sur la comptabilité produite par cette partie – qui n’a qu’une valeur probante limitée dans la mesure où elle est établie sur la base des données fournies par la partie elle-même – ainsi que sur les autres éléments pertinents au dossier. Il peut ainsi parfaitement tenir compte d’un rapport établi par une société de conseil mandatée par la partie adverse et analyser cette comptabilité de manière à mettre en lumière certains aspects problématiques ; en effet, si un tel rapport n’a à l’évidence pas la valeur probante qu’aurait une expertise indépendante, il peut éclairer le juge sur l’analyse de la comptabilité produite qui n’a elle-même, comme déjà dit, qu’une valeur probante limitée. c) En l’espèce, le rapport de X.________Sàrl, produit par l’intimée à l’audience du 5 février 2013, admet les chiffres de la comptabilité produite par l’appelant pour les années 2008 et 2009, soit pour 2008 une perte de 8'861 fr. pour l’activité indépendante et un revenu net de 31'342 fr. pour l’activité exercée pour W.________, soit un revenu total de quelque 22'500 fr., et pour 2009, un bénéfice de 18'907 fr. pour l’activité indépendante et un revenu net de 29'217 fr. pour l’activité exercée pour W.________, soit un revenu total en 2009 de quelque 48'100 francs. Pour 2010, le rapport de X.________Sàrl procède à un ajustement de résultat (en raison d’une modification des comptes débiteurs, actifs transitoires, passifs transitoires, capital et résultat « selon le journal en annexe 1 ») et estime ainsi que le bénéfice de l’exploitation est de 27'681 fr. 25 au lieu des 19'444 fr. comptabilisés, soit, ajouté au revenu net de 34’805 fr. pour l’activité exercée pour W.________, un revenu total en 2010 de quelque 62’500 francs. Pour 2011, le rapport de X.________Sàrl procède à un ajustement de résultat (en raison d’une modification des comptes débiteurs, actifs transitoires, passifs transitoires, capital et résultat, ainsi que des comptes bancaires, « selon le journal en annexe 2 ») et estime ainsi la perte de l’activité indépendante à 6'382 fr. 27 au lieu des 32'927 fr. 75 comptabilisés. A cela s’ajoute que la fiduciaire de l’appelant indique que celui-ci a perçu des indemnités perte de gain de 36'974 fr. 40, un remboursement de l’assurance [...] de 9'094 fr. 90 et un revenu de W.________ de 21'861 fr. 60, de sorte que ses revenus totaux pour 2011 s’élèvent à quelque 61'600 francs. Pour 2012, aucune pièce n’a été produite, mais selon les dires de l’appelant, l’activité exercée pour W.________ lui a procuré un revenu approximatif de 32'000 fr., soit un revenu qui est tout à fait dans la moyenne des quatre années précédentes. Sur cette base, on peut raisonnablement admettre avec le premier juge que l’appelant est en mesure de réaliser, entre son activité indépendante de guide et de professeur de sports de neige et l’activité qu’il exerce pour le compte de W.________, un revenu de l’ordre de 5'000 fr. en moyenne par mois. D’ailleurs, l’appelant a lui-même déclaré qu’il avait perçu 4'800 fr. de perte de gain par mois en 2011, ce dont on ne peut que déduire, comme l’a relevé pertinemment le premier juge, qu’il perçoit au minimum l’équivalent de ce montant lorsqu’il travaille. d) Il résulte de ce qui précède que l’ordonnance attaquée échappe à la critique en tant qu’elle fixe à 500 fr. par mois la contribution d’entretien due par l’appelant pour l’entretien de chacun de ses deux enfants. En effet, ce montant – qui n’équivaut qu’à 20 % de son revenu, alors que selon les normes usuelles, un père consacre entre 25 et 27 % de ses revenus à l’entretien de deux enfants (De Luze/Page/Stoudmann, Droit de la famille, Code annoté, 2013, n. 1.6 ad art. 285 CC et la jurisprudence citée) – lui permet de couvrir ses charges incompressibles, qui s’élèvent selon ses propres dires à 3'950 fr. par mois.</w:t>
      </w:r>
    </w:p>
    <w:p>
      <w:r>
        <w:rPr>
          <w:b/>
        </w:rPr>
        <w:t>E. 4</w:t>
      </w:r>
    </w:p>
    <w:p>
      <w:r>
        <w:t>Il s’ensuit que l’appel, manifestement infondé, doit être rejeté dans la procédure de l’art. 312 al. 1 CPC, ce qui entraîne la confirmation de l’ordonnance entreprise. Comme l’appel apparaissait d’emblée dépourvu de chances de succès, la demande d’assistance judiciaire doit être rejetée (art. 117 let. b CPC ; cf. juge délégué CACI 23 mars 2012/149). Les frais judiciaires de deuxième instance, qui doivent être arrêtés à 600 fr. (art. 65 al. 2 TFJC [tarif des frais judiciaires en matière civile du 28 septembre 2010 ; RSV 270.11.5]), seront mis à la charge de l’appelant, qui succombe (art.106 al. 1 CPC). L’intimée n'ayant pas été invitée à se déterminer sur l'appel, il n’y a pas lieu d’allouer de dépens de deuxième instance.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A.N.________. V. Il n’est pas alloué de dépens de deuxième instance. VI. L'arrêt motivé est exécutoire. Le juge délégué : La greffière : Du</w:t>
      </w:r>
    </w:p>
    <w:p>
      <w:r>
        <w:rPr>
          <w:b/>
        </w:rPr>
        <w:t>E. 9</w:t>
      </w:r>
    </w:p>
    <w:p>
      <w:r>
        <w:t>juillet 2013 Le dispositif de l'arrêt qui précède est communiqué par écrit aux intéressés. La greffière : Du L'arrêt qui précède, dont la rédaction a été approuvée à huis clos, est notifié en expédition complète, par l'envoi de photocopies, à : ‑ Me Aba Neeman (pour A.N.________) ‑ Me Nicolas Mattenberger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