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48 vom 20. Dezember 2012</w:t>
      </w:r>
    </w:p>
    <w:p>
      <w:r>
        <w:t>VD Tribunal cantonal, 2012-12-20, FR</w:t>
      </w:r>
    </w:p>
    <w:p>
      <w:r>
        <w:rPr>
          <w:b/>
        </w:rPr>
        <w:t xml:space="preserve">Quelle: </w:t>
      </w:r>
      <w:r>
        <w:t>https://mcp.opencaselaw.ch/entscheid/vd_findinfo_HC___2013___48</w:t>
      </w:r>
    </w:p>
    <w:p>
      <w:r>
        <w:t>FR: VD_FINDINFO HC / 2013 / 48 du 20 décembre 2012</w:t>
      </w:r>
    </w:p>
    <w:p>
      <w:r>
        <w:t>IT: VD_FINDINFO HC / 2013 / 48 del 20 dicembre 2012</w:t>
      </w:r>
    </w:p>
    <w:p>
      <w:pPr>
        <w:pStyle w:val="Heading2"/>
      </w:pPr>
      <w:r>
        <w:t>Regeste</w:t>
      </w:r>
    </w:p>
    <w:p>
      <w:r>
        <w:t>CONSTRUCTION ET INSTALLATION, DOMMAGES-INTÉRÊTS, PRESCRIPTION, RÉDUCTION{EN GÉNÉRAL} | 679 CC, 127 CO, 42 al. 2 CO, 43 al. 1 CO, 60 CO</w:t>
      </w:r>
    </w:p>
    <w:p>
      <w:pPr>
        <w:pStyle w:val="Heading2"/>
      </w:pPr>
      <w:r>
        <w:t>Erwägungen</w:t>
      </w:r>
    </w:p>
    <w:p>
      <w:r>
        <w:rPr>
          <w:b/>
        </w:rPr>
        <w:t>E. 1</w:t>
      </w:r>
    </w:p>
    <w:p>
      <w:r>
        <w:t>B.T.________ et A.T.________, demandeurs, sont propriétaires communs de la parcelle n° [...] d'Ollon, sur laquelle se trouve un chalet constituant le domicile principal de A.T.________. W.________, défendeur, était propriétaire de la parcelle contiguë n° [...]. Lors de la mise à l'enquête relative à la construction de deux immeubles d'habitation sur la parcelle n° [...], les demandeurs ont formé opposition. Les parties ont trouvé un accord et ont signé – les 24, 25 et 28 janvier 2003 – une convention datée du 21 janvier 2003 dont il ressort notamment ce qui suit: "3) De manière générale, l'organisation du futur chantier prendra en considération les dimensions du chemin et la configuration locale, en ce qui concerne les engins et camions à utiliser pour l'exécution des travaux. […] 5) Durant les travaux, l'accès à votre propriété sera garanti et nettoyé des dechets [sic] éventuels et salissures du chantier. […] 7. Durant les aménagements extérieurs, le chemin d'accès menant jusque devant votre garage sera amélioré, à la charge de M. W.________, avec un revêtement de grilles à gazon." Le 31 janvier 2006, la société H.________ a informé les demandeurs qu'elle était chargée de réaliser les bâtiments du défendeur, que les travaux débuteraient en mars 2006 et s'achèveraient en juillet 2007. Le 23 mars 2006, les architectes [...] et [...] ont rendu un rapport d'expertise sur l'état de l'escalier d'accès au chalet des demandeurs, dont il ressort notamment que "[l]e tout [était] en relativement mauvais état". Le 28 février 2007, les demandeurs ont indiqué à H.________ qu'ils avaient le projet de réaliser sur leur parcelle un couvert pour deux véhicules et qu'ils souhaitaient coordonner leur construction avec le chantier du défendeur. Le 13 mars 2007, la société précitée a informé les demandeurs que les travaux de remise en état de l'accès de chantier devraient avoir lieu en juillet 2007. Le 4 mai 2007, les demandeurs ont obtenu un permis de construire un couvert pour deux véhicules. Le 12 juin 2007, H.________ a été déclarée en faillite. Le chantier du défendeur a par conséquent été arrêté. Il a dû confier au plus vite la reprise du chantier à un nouvel architecte et se charger des contrats des sous-traitants. Le 19 juin 2007, A.T.________ a prié le défendeur de lui donner des renseignements sur le programme des travaux. Le 26 juin 2007, l'architecte E.________ de la société [...] a informé le demandeur que le chantier reprendrait progressivement dès le 2 juillet suivant. Par courrier du 30 juillet 2008, les demandeurs, constatant que le chantier avait pris un retard considérable et qu'ils ne parvenaient à obtenir ni du défendeur ni de l'architecte les renseignements nécessaires, ont mis celui-là en demeure de leur fournir un programme des travaux avec l'indication précise de la date du rétablissement de l'accès à leur garage, du rétablissement de l'assiette de la servitude de passage et du rétablissement de l'escalier d'entrée de leur chalet. Le 21 août 2008, le défendeur a répondu que le chantier était véritablement en voie d'être terminé et que l'entreprise de terrassement avait promis à l'architecte qu'elle serait sur place incessamment pour terminer le chemin. Le 1 er décembre 2008, la société M.________ a adressé au demandeur la facture n° 8168 relative aux travaux d'aménagement du chemin d'accès à son chalet d'un montant de 21'394 fr. 75, hausse 2007-2008 (4,3%) et TVA (7,6%) comprises, escompte de 2% pour un paiement à dix jours. La position 3 de la facture faisait état d'un montant de 5'683 fr. 30. Le 28 juin 2009, le demandeur s'est adressé à l'architecte E.________ pour qu'il le renseigne, notamment, sur la date des travaux de pose de l'enrobé dès lors que ces travaux impliquaient la fermeture du chemin d'accès à son domicile. Par courrier du 6 juillet 2009, les demandeurs ont indiqué au défendeur qu'ils avaient procédé le 2 juillet précédent à une inspection locale, qui leur avait permis de constater que les travaux étaient en voie d'achèvement, puisqu'il ne restait plus que la route d'accès encore en chantier. Ils ont demandé l'exécution de la convention du 21 janvier 2003, soit le rétablissement de l'escalier d'entrée du chalet qui avait bougé et dont certaines pierres s'étaient descellées ainsi que la prise en charge des frais relatifs au chemin d'accès à leur chalet. S'agissant de ces frais, les demandeurs ont requis le paiement d'un montant de 14'716 fr. 20 au défendeur, correspondant au montant total de la facture n° 8168 (21'394 fr. 75) après déduction d'un escompte de 2%, soit 20'966 fr. 85, sous déduction de la position 3 (5'683 fr. 30), majorée d'une hausse de 4,3% (244 fr. 40) et de la TVA par 7,6% (450 fr. 50) et réduite d'un escompte de 2% (127 fr. 55), soit d'un montant de 6'250 fr. 65. En sus, les demandeurs ont réclamé la réparation du dommage causé par le retard dans la construction du couvert à véhicules ayant engendré des hausses légales par 3'655 fr. 30 et le paiement d'une indemnité pour les désagréments importants subis par 8'000 francs. Le 2 mars 2010, la société Y.________ a adressé au demandeur un devis relatif à la réfection de l'escalier extérieur d'un montant de 15'064 fr., TVA comprise.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et la jurisprudence constante de la CACI, notamment CACI 1 er février 2012/57 c. 2a). Il convient donc d’examiner les griefs soulevés par l’appelant.</w:t>
      </w:r>
    </w:p>
    <w:p>
      <w:r>
        <w:rPr>
          <w:b/>
        </w:rPr>
        <w:t>E. 3</w:t>
      </w:r>
    </w:p>
    <w:p>
      <w:r>
        <w:t>a) L’appelant soutient que les prétentions des intimés relatives à la réfection de l'escalier, de même que celles relatives au rétablissement du chemin d’accès, étaient prescrites lors du dépôt de la demande le 10 mars 2010. En effet, selon l’appelant, le dommage à l’escalier, de même que celui causé au chemin d’accès, aurait été causé en cours de l’exécution du gros œuvre du chantier. Or selon l’expertise, le remblayage final a été effectué à la fin du mois de juin 2008, ce qui marquait la fin du trafic de poids lourds, hormis les interventions relatives au solde des aménagements extérieurs et du chemin d’accès, et les dernières interventions sur le gros œuvre ont eu lieu fin 2008. Dès lors, les intimés connaissaient le dommage à fin décembre 2008 et le délai de prescription annuel de l’art. 60 CO (Code des obligations, RS 220) était échu lors de l’ouverture d’action. b) Selon l’art. 679 CC (Code civil suisse du 10 décembre 1907, RS 210), celui qui est atteint ou menacé d’un dommage parce qu’un propriétaire excède son droit peut actionner ce propriétaire pour qu’il remette les choses en l’état ou prenne des mesures en vue d’écarter le danger, sans préjudice de tous dommages-intérêts. L’admission de toutes les actions ouvertes selon l’art. 679 CC est subordonnée à la réalisation des trois conditions suivantes : un excès dans l’utilisation du fonds, une atteinte aux droits du voisin et un rapport de causalité entre l’excès et l’atteinte ; elle est donc indépendante de la faute du défendeur (Pierre-Henri Steinauer, Les droits réels, Tome II, 4 e éd., nn. 1908, 1909 et 1929). L’art. 679 CC n’envisage que le cas d’un dommage, mais le voisin est aussi protégé contre des atteintes qui ne constituent pas un dommage au sens strict de ce terme, par exemple contre des bruits excessifs (Steinauer, op. cit., n. 1918). Selon la jurisprudence, le seul fait de construire sur un fonds ne génère pas de responsabilité du propriétaire vis-à-vis des voisins. Pour qu’une prétention en dommages-intérêts puisse être élevée, il faut qu’une construction entraîne des immissions qui dépassent largement, par leur nature, leur intensité et leur durée, ce qui peut être admis normalement dans l’utilisation et l’exploitation d’un bien-fonds. Dans un cas concret, on en juge d’un point de vue objectif, en procédant pour l’essentiel à une pesée des intérêts opposés des parties concernées, compte tenu de l’usage local comme aussi de la situation et de la nature des immeubles. La juridiction cantonale jouit dans ce domaine d’un large pouvoir d’appréciation (JT 1989 I 144; JT 1965 I 590). L’action en réparation du dommage de l’art. 679 CC se prescrit conformément à l’art. 60 CO. Le délai de prescription d’un an ne commence à courir que lorsque le comportement dommageable (sur le fonds à l’origine de l’immission) a pris fin ; dès lors, aussi longtemps que dure un comportement dommageable, il est possible de demander la réparation de l’ensemble des dommages qu’il a causés dans le passé ; en revanche, si le dommage provient d’un fait excessif unique, le délai de prescription commence à courir dès que cet excès a pris fin (Steinauer, op. cit., nn. 1930 et 1930a; ATF 109 lI 418, JT 1984 I 630 c. 3 ; ATF 127 III 257, JT 2002 I 249 c. 2). c) En l’espèce, il est constant que les dommages à l'escalier des intimés ont été causés par les passages des véhicules de chantier et des véhicules poids lourds liés au chantier de l’appelant. Selon l’expertise judiciaire, le remblayage final a été effectué en juin 2008, marquant la fin du trafic de poids lourds, hormis les interventions relatives au solde des aménagements extérieurs et du chemin d’accès ; les dernières interventions sur le gros œuvre ont eu lieu fin 2008 et les travaux de réfection du chemin se sont achevés courant juin 2009. Force est dès lors de constater que le comportement dommageable n’a pris fin qu’en juin 2009, puisque des passages de véhicules poids lourds ont encore eu lieu à cette date, de nature à aggraver ou à répéter – dans le cas où une réfection de l'escalier aurait été effectuée entre-temps – les dommages causés à l'escalier. Il s’ensuit que le délai de prescription de l’action en réparation de ce dommage a commencé à courir en juin 2009 et qu’il n’était pas échu lors de l’ouverture d’action le 10 mars 2010. Par ailleurs, en tant que l’appelant invoque la prescription des prétentions des intimés relatives à la réfection du chemin d’accès, son grief tombe également à faux du fait que ces prétentions ne reposent pas sur l’art. 679 CC, mais sur une obligation contractuelle de l’appelant, qui est soumise à la prescription décennale de l’art. 127 CO (Thévenoz, Commentaire romand, Code des obligations I, 2 e éd., Bâle 2012, n. 24 ad art. 127 CO).</w:t>
      </w:r>
    </w:p>
    <w:p>
      <w:r>
        <w:rPr>
          <w:b/>
        </w:rPr>
        <w:t>E. 4</w:t>
      </w:r>
    </w:p>
    <w:p>
      <w:r>
        <w:t>a) L’appelant soutient ensuite que les prétentions des intimés relatives aux nuisances excessives du chantier étaient prescrites lors du dépôt de la demande le 10 mars 2010, dans la mesure où les travaux eux-mêmes auraient duré jusqu’en 2008, date du remblayage final, et non jusqu’en juin 2009, date de la fin des travaux de réfection du chemin d’accès, lesquels ne faisaient pas initialement partie desdits travaux mais ont été ajoutés au projet initial ensuite de la convention conclue entre les parties. b) Il résulte de cette convention conclue en janvier 2003 que, pour les parties, les travaux devaient durer jusqu’aux aménagements extérieurs, durant lesquels le chemin d’accès menant jusque devant le garage des intimés devait être amélioré à la charge de l’appelant. Dans une lettre du 31 janvier 2006, la société H.________ a informé les intimés qu’elle avait été chargée par l’appelant de réaliser les bâtiments et que les travaux débuteraient courant mars 2006 pour s’achever en juillet 2007. Le 13 mars 2007, H.________ a confirmé qu’en principe, les travaux de remise en état de l’accès de chantier devraient avoir lieu en juillet 2007. Or, les travaux de réfection du chemin d’accès, qui marquaient la fin des travaux, ont été effectués en juin 2009 (rapport d'expertise, ad all. 83). C’est donc à ce moment-là que le délai de prescription a commencé à courir également s’agissant des prétentions des intimés relatives aux nuisances excessives du chantier.</w:t>
      </w:r>
    </w:p>
    <w:p>
      <w:r>
        <w:rPr>
          <w:b/>
        </w:rPr>
        <w:t>E. 5</w:t>
      </w:r>
    </w:p>
    <w:p>
      <w:r>
        <w:t>a) L’appelant conteste avoir commis une faute contractuelle s’agissant de la réfection du chemin d’accès et de l'escalier, dans la mesure où il n’était pas possible d’exécuter les travaux sans passer aux abords immédiats de l’escalier des demandeurs. A titre subsidiaire, il estime que les indemnités allouées à ce titre devraient être réduites au vu de la légèreté de la faute commise, en vertu de l’art. 43 al. 1 CO, applicable par renvoi de l’art. 99 al. 3 CO. b) Ces griefs tombent à faux. En effet, les actions de l’art. 679 CC étant indépendantes de toute faute du demandeur, il n’est pas envisageable de réduire l’indemnité allouée en réparation de l'escalier des intimés au motif que l’appelant n’aurait pas commis de faute ou seulement une faute légère. Par ailleurs, les prétentions des intimés relatives à la réfection du chemin d’accès se fondent directement sur les obligations contractuelles de l’appelant selon la convention conclue en janvier 2003 et non sur une mauvaise exécution fautive d’une obligation contractuelle au sens des art. 97 al. 1 et 99 al. 3 CO ; elles ne peuvent donc qu’être allouées dans leur intégralité.</w:t>
      </w:r>
    </w:p>
    <w:p>
      <w:r>
        <w:rPr>
          <w:b/>
        </w:rPr>
        <w:t>E. 6</w:t>
      </w:r>
    </w:p>
    <w:p>
      <w:r>
        <w:t>a) L’appelant soutient enfin que les intimés n’auraient pas établi leur dommage relatif à la réfection de l'escalier, dans la mesure où celui-ci était en mauvais état au moment du début du chantier et où les intimés n’ont pas établi la différence entre la valeur de l’escalier avant les travaux de l’appelant et sa valeur après ces travaux. L’appelant admet toutefois qu’une partie du prix de la réfection des escaliers des intimés, à fixer ex aequo et bono à dire de justice, soit mise à sa charge. b) En cas de dommage matériel (Sachschaden), le dommage correspond à la perte de valeur subie par la chose ensuite de l’événement dommageable ; cette perte de valeur se mesure au coût de la réparation (Brehm, Berner Kommentar, Band VI/1/3/1, 3 e éd. 2006, n. 20h ad art. 42 CO; Werro, La responsabilité civile, 2 e éd., n. 1026 p. 291 et n. 1036 p. 293; Fellmann/Kottmann, Schweizerisches Haftpflichtrecht, Bd. I, n. 2337 p. 842; Oftinger/Stark, Schweizerisches Haftpflichtrecht, Allg. Teil., I, § 6 n. 367 p. 368). On distingue entre dommage partiel et dommage total, ce dernier cas de figure étant réalisé lorsque le coût de réparation est supérieur à la valeur de la chose avant l'événement dommageable (Brehm, op. cit., n. 25 ad 42 CO). En l'espèce, on ignore la valeur des escaliers avant réparation et on ne saurait affirmer que le coût de réparation excède cette valeur. Il y a donc lieu de partir d'un dommage partiel. Il existe en droit suisse de la responsabilité civile un principe selon lequel il y a lieu de procéder le cas échéant à une imputation des avantages (Vorteilsanrechnung) pour éviter que le lésé ne soit enrichi, car tel n’est pas le but de la responsabilité civile (Brehm, op. cit., n. 27 ad art. 42 CO et les références citées). Lorsqu’après réparation, la valeur de la chose est supérieure à ce qu’elle était avant réparation, la question peut se poser de savoir si la plus-value ainsi créée justifie une réduction de l’indemnisation. La doctrine relève qu’une telle réduction ne doit être admise qu’avec retenue (Fellmann/Kottmann, op. cit., n. 2340 p. 843; Oftinger/Stark. cit., § 6 n. 369 p. 369). Ainsi, celui qui est victime d’un dommage affectant un bien matériel est en droit d’exiger de celui qui doit réparer le dommage la remise en état de sa chose. Celui qui est tenu à réparation ne peut éventuellement prétendre à faire participer le bénéficiaire de la réparation à son coût pour le motif qu’il a remplacé un accessoire usé par un accessoire neuf que s’il apparaît évident que ce remplacement a apporté une plus-value à la chose, considérée dans son ensemble, ou s’il apparaît qu’en tout état de cause le propriétaire de la chose aurait été obligé de procéder dans un avenir prochain au remplacement de l’accessoire usé par un accessoire neuf (SJ 1961 p. 270). Il incombe à celui qui s’en prévaut d’établir que la chose dans son entier a obtenu une plus-value du fait de la réparation (art. 8 CC). En l'espèce, vu l'état de l'escalier avant réparation, une telle plus-value est possible, voire vraisemblable. Il ne peut toutefois être sans autre fait application de l'art. 42 al. 2 CO pour opérer une réduction du dommage. En effet, cette disposition ne dispense pas la partie de fournir au juge, dans la mesure où on peut l'attendre d'elle, tous les éléments de fait permettant ou facilitant son estimation (cf. ATF 131 III 360 c. 5.1). L'appelant n'ayant pas établi dans quelle mesure la réfection de l'escalier aurait augmenté sa valeur, en offrant les preuves adéquates (p. ex. une expertise), il ne saurait prétendre à une réduction de l'indemnisation.</w:t>
      </w:r>
    </w:p>
    <w:p>
      <w:r>
        <w:rPr>
          <w:b/>
        </w:rPr>
        <w:t>E. 7</w:t>
      </w:r>
    </w:p>
    <w:p>
      <w:r>
        <w:t>a) En définitive, l'appel doit être rejeté et le jugement entrepris confirmé. b) Les frais judiciaires de deuxième instance, arrêtés à 1'363 fr. (art. 62 al. 1 et 2 TFJC [tarif des frais judiciaires civils du 28 septembre 2010, RSV 270.11.5]), seront mis à la charge de l'appelant qui succombe (art. 106 al. 1 CPC). c) L'appelant versera aux intimés, solidairement entre eux, des dépens de deuxième instance arrêtés à 2'000 fr. (art. 7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