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471 vom 3. Juli 2013</w:t>
      </w:r>
    </w:p>
    <w:p>
      <w:r>
        <w:t>VD Tribunal cantonal, 2013-07-03, FR</w:t>
      </w:r>
    </w:p>
    <w:p>
      <w:r>
        <w:rPr>
          <w:b/>
        </w:rPr>
        <w:t xml:space="preserve">Quelle: </w:t>
      </w:r>
      <w:r>
        <w:t>https://mcp.opencaselaw.ch/entscheid/vd_findinfo_HC___2013___471</w:t>
      </w:r>
    </w:p>
    <w:p>
      <w:r>
        <w:t>FR: VD_FINDINFO HC / 2013 / 471 du 3 juillet 2013</w:t>
      </w:r>
    </w:p>
    <w:p>
      <w:r>
        <w:t>IT: VD_FINDINFO HC / 2013 / 471 del 3 luglio 2013</w:t>
      </w:r>
    </w:p>
    <w:p>
      <w:pPr>
        <w:pStyle w:val="Heading2"/>
      </w:pPr>
      <w:r>
        <w:t>Regeste</w:t>
      </w:r>
    </w:p>
    <w:p>
      <w:r>
        <w:t>CURATELLE ÉDUCATIVE, PERPETUATIO FORI | 176 al. 3 CC, 308 al. 1 CC, 308 al. 2 CC, 308 al. 1 let. b CPC (CH), 312 al. 1 CPC (CH)</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dans les causes non patrimoniales ou dont la valeur litigieuses au dernier état des conclusions devant l’autorité inférieure est supérieure à 10'000 fr. (art. 30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intérêt (art. 59 al. 2 let. a CPC), et portant sur des conclusions non patrimoniales, l'appel est formellement recevable (art. 311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w:t>
      </w:r>
    </w:p>
    <w:p>
      <w:r>
        <w:rPr>
          <w:b/>
        </w:rPr>
        <w:t>E. 2.3</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(cf. ATF 5A_361/2011 du 7 décembre 2011 c. 5.3.1).</w:t>
      </w:r>
    </w:p>
    <w:p>
      <w:r>
        <w:rPr>
          <w:b/>
        </w:rPr>
        <w:t>E. 3</w:t>
      </w:r>
    </w:p>
    <w:p>
      <w:r>
        <w:t>La compétence des autorités suisses pour prendre une mesure de protection, nonobstant le déménagement de l'appelante au Canada n'est pas contestée. Il résulte toutefois de la jurisprudence du Tribunal fédéral que dans les relations avec un Etat qui, comme le Canada, n'a ratifié ni la CLaH96 ni la CLaH61, c'est la première qui s'applique, compte tenu du renvoi général de l'art. 85 al. 1 LDIP. Cependant, alors que le principe de perpetuatio fori ne s'applique en principe pas dans le cadre de la CLaH96 (cf. art. 7 CLaH96), lorsque la nouvelle résidence habituelle se trouve dans un Etat non contractant, la compétence de l'autorité saisie peut être conservée dans le sens de la perpetuatio fori (TF 5A_809/2012 du 8 janvier 2013 c.2.3.1, in FamPra.ch. 2013 p. 519). En l'espèce, la procédure a été initiée à la suite d'un signalement du SPJ du 22 février 2012, alors que les enfants avaient leur résidence habituelle en Suisse. La compétence des autorités suisses est donc donnée, malgré le déménagement postérieur des enfants et de l'appelante au Canada. Ainsi, comme l'a considéré le premier juge, le droit suisse est applicable (art. 15 ch. 1 CLaH96), ce que l’appelante n’a du reste pas contesté.</w:t>
      </w:r>
    </w:p>
    <w:p>
      <w:r>
        <w:rPr>
          <w:b/>
        </w:rPr>
        <w:t>E. 4.1</w:t>
      </w:r>
    </w:p>
    <w:p>
      <w:r>
        <w:t>L'appelante conteste que les enfants soient mis en danger dans leur développement, de sorte qu'à son avis une curatelle d’assistance au sens de l'art. 308 al. 1 CC n'est pas justifiée. Par ailleurs, elle fait valoir qu'aucun dysfonctionnement n'a été constaté par les spécialistes, s'agissant des relations personnelles, si bien qu'une curatelle de surveillance du droit de visite au sens de l'art. 308 al. 2 CC ne s'impose pas. Enfin, invoquant le principe de subsidiarité, l'appelante fait valoir qu'un suivi thérapeutique des enfants est suffisant.</w:t>
      </w:r>
    </w:p>
    <w:p>
      <w:r>
        <w:rPr>
          <w:b/>
        </w:rPr>
        <w:t>E. 4.2</w:t>
      </w:r>
    </w:p>
    <w:p>
      <w:r>
        <w:t>En vertu de l'art. 176 al. 3 CC, relatif à l'organisation de la vie séparée, lorsque les époux ont des enfants mineurs, le juge des mesures protectrices ordonne les mesures nécessaires d'après les dispositions sur les effets de la filiation (cf. art. 273 ss CC). Selon l'art. 308 al. 1 CC, lorsque les circonstances l'exigent, l'autorité de protection de l'enfant – respectivement le juge dans le cadre d’une procédure matrimoniale, art. 315 al. 1 CC – nomme à l'enfant un curateur qui assiste les père et mère de ses conseils et de son appui dans le soin de l'enfant. Selon l'art. 308 al. 2 CC, elle peut conférer au curateur certains pouvoirs tels que celui de la surveillance des relations personnelles. Le curateur de l'art. 308 al. 1 CC n'a pas seulement un droit de regard et d'information. Il peut donner aux parents des recommandations et des directives sur l'éducation et agir directement, avec eux, sur l'enfant (Hegnauer, Droit suisse de la filiation, 4è éd. nn. 27.19 et 27.19a, pp. 188-189). La curatelle de l'art. 308 al. 1 CC doit être ordonnée lorsque, à défaut d’un tel appui, les parents ne peuvent faire face à leur tâche, sans toutefois que des mesures plus énergiques soient nécessaires (Meier/Stettler, Droit de la filiation, 4è éd., n. 1137, pp. 657-658). L’art. 308 CC s’inscrit dans le cadre général des mesures protectrices de l’enfant. L'institution d'une telle curatelle présuppose d'abord, comme toute mesure de protection (art. 307 al. 1 CC), que l'enfant coure un danger et que son développement soit menacé (TF 5A_839/2008 du 2 mars 2009 ; ATF 108 II 372 c.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op. cit., n. 1138, p. 658; Meier, Commentaire romand, n. 5 ad art. 307 CC; Hegnauer, op. cit., n. 27.14, p. 186).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auxquels les père et mère ne peuvent pas faire face seuls. Ce mandat peut, mais ne doit pas nécessairement, être couplé avec une curatelle à pouvoirs particuliers, telle la surveillance des relations personnelles (Meier, Commentaire romand, n. 7 ad art. 308 CC). Le curateur assiste les père et mère de ses conseils et de son appui dans le soin de l'enfant. Il exercera sa mission par le dialogue, la médiation et l'incitation, tant à l'égard des parents que de l'enfant (Meier, op. cit., n. 8-9 ad art. 308 CC). L’institution d’une curatelle destinée à la surveillance du droit de visite est particulièrement indiquée en cas de divorce ou de séparation. Une curatelle éducative pour la surveillance des relations personnelles devrait toujours être instituée quand il existe un grave danger que des difficultés surgissent dans l'exercice du droit de visite de la part de l'époux auquel l'autorité parentale n'a pas été confiée. Il y a avant tout lieu d'ordonner cette mesure lorsque de telles difficultés ont déjà été rencontrées durant le procès en divorce (TF 5A_793/2010 du 14 novembre 2011 c. 5.1., rés. RMA 2012 p. 106).</w:t>
      </w:r>
    </w:p>
    <w:p>
      <w:r>
        <w:rPr>
          <w:b/>
        </w:rPr>
        <w:t>E. 4.3</w:t>
      </w:r>
    </w:p>
    <w:p>
      <w:r>
        <w:t>En l’espèce, il ressort du rapport d'évaluation du SPJ, qui se fonde sur les propres observations de son auteur et celles de divers intervenants (médecins, thérapeutes ou enseignants), que les enfants sont à l’heure actuelle en danger dans leur développement, du fait de la fragilité émotionnelle de leur mère et des carences d'encadrement familial. En outre la mésentente entre les parents ne permet pas aux enfants d'avoir des relations personnelles de qualité avec leur père et empêche parfois ce dernier d'influer sur les choix éducatifs en leur faveur, alors même qu'il serait adéquat pour ce faire. Considérant d'une part qu'il est primordial que la mère puisse bénéficier d'un soutien éducatif pour l'aider à organiser le quotidien des enfants, vérifier qu'elle mette un suivi médical et adéquat en leur faveur et qu'elle sollicite aussi un soutien médical en sa faveur, et considérant d'autre part que la place du père dans la vie des enfants ainsi que son avis dans les orientations à donner à leur prise en charge devraient être garantis par l'intermédiaire d'un intervenant extérieur, le SPJ préconise la mise en œuvre d'une curatelle d'assistance éducative et de surveillance des relations personnelles au sens des art. 308 al. 1 et 2 CC. On relèvera que le Dr [...] lui-même, dont l'appelante se prévaut des propos, considère que le développement de [...] devrait rester sous la surveillance d'un tiers extérieur à la famille. La mère est décrite par ce médecin comme étant émotionnellement assez fragile et souligne que, lorsqu'elle a le sentiment de ne pas fonctionner, cela augmente ses symptômes de dépression et d'anxiété et elle s'appuie sur sa fille. Ce dernier élément est souligné par la Dresse [...] qui a observé que [...] était très angoissée et manifestait des aspects dépressifs, réactionnels à la situation familiale. Ce médecin s'inquiète du fait que la fillette soit amenée à "porter" la relation conflictuelle entre ses parents et considère que la mère aurait besoin d'un soutien éducatif pour assumer une prise en charge adéquate des enfants et a des difficultés à identifier les limites, notamment en ce qui concerne ce qui est adéquat de dire ou ne pas dire aux enfants. Quant au Dr [...], il relève également que la mère est souvent dépassée et présente des problèmes pour gérer le quotidien. Il existe un fort conflit entre les parents, lequel mériterait d'être encadré pour calmer les tensions entre eux. Le pédiatre estime que la mère a besoin d'un soutien éducatif. A l'audience, ce praticien a relevé que la situation des enfants nécessitait la mise en place urgente d’un soutien pédopsychiatrique et d'un suivi social et éducatif. Selon lui, la mère avait de son projet de déménagement au Canada une vision idyllique en ce sens que la réalisation de ce projet résoudrait selon elle nombre de soucis d'ordre organisationnel. Au vu de ce qui précède, c'est dès lors à juste titre que le premier juge a considéré que le développement des enfants était en danger. L'ensemble des intervenants considère que la mère a besoin d’un soutien éducatif et que le développement des enfants doit rester sous la surveillance d'un tiers extérieur. S'il y a lieu de donner acte à l'appelante du fait que certaines mesures de prise en charge des enfants ont été récemment mises en place à la suite du déménagement au Canada (système d' «Emergency Management at school» pour la prise en charge médicale de [...] et évaluation psychopédagogique de la Dresse [...] pour [...]), il convient, comme le premier juge l'a relevé, de s'assurer que cette prise en charge se poursuive dans le temps. L'appelante estime certes qu'un suivi pédopsychiatrique serait suffisant et conforme au principe de proportionnalité. Elle méconnaît que les médecins et le SPJ, s'ils préconisent un tel suivi, considèrent également qu'il n'est pas suffisant, un soutien éducatif à la mère étant aussi nécessaire. Une mesure plus globale telle que la curatelle éducative apparaît ainsi conforme au principe précité. Quant à la curatelle de surveillance des relations personnelles, elle s'impose au vu du rapport du SPJ, afin de permettre, au vu du conflit conjugal important relevé par tous les intervenants, que la place du père dans la vie des enfants ainsi que son avis dans les orientations à donner à leur prise en charge soient garantis par l'intermédiaire d'un intervenant extérieur. Il s’ensuit qu’en l’état, la curatelle instituée à forme de l’art. 308 CC constitue une mesure adéquate pour protéger les enfants des parties, eu égard aux principes de proportionnalité et de subsidiarité. Mal fondé, le moyen de l’appelante doit être rejeté.</w:t>
      </w:r>
    </w:p>
    <w:p>
      <w:r>
        <w:rPr>
          <w:b/>
        </w:rPr>
        <w:t>E. 5</w:t>
      </w:r>
    </w:p>
    <w:p>
      <w:r>
        <w:t>En conclusion, l’appel est rejeté et le prononcé querellé confirmé.</w:t>
      </w:r>
    </w:p>
    <w:p>
      <w:r>
        <w:rPr>
          <w:b/>
        </w:rPr>
        <w:t>E. 6</w:t>
      </w:r>
    </w:p>
    <w:p>
      <w:r>
        <w:t>Les frais judiciaires de l’appelante, qui succombe, sont arrêtés à 600 fr. (art. 65 al. 3 TFJC [tarif des frais judiciaires civils du 28 septembre 2010 ; RSV 270.11.5]). Il n’y a pas lieu d’allouer de dépens à l’intimé, qui n’a pas été invité à se déterminer.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l'appelante A.H.________. IV. L'arrêt motivé est exécutoire. Le juge délégué : Le greffier : Du 3 juillet 2013 Le dispositif de l'arrêt qui précède est communiqué par écrit aux intéressés. Le greffier : Du L'arrêt qui précède, dont la rédaction a été approuvée à huis clos, est notifié en expédition complète, par l'envoi de photocopies à : ‑ Me Patricia Michellod (pour A.H.________). ‑ Me Agrippino Renda (pour B.H.________), - Service de protection de la Jeunesse.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