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457 vom 5. Juni 2013</w:t>
      </w:r>
    </w:p>
    <w:p>
      <w:r>
        <w:t>VD Tribunal cantonal, 2013-06-05, FR</w:t>
      </w:r>
    </w:p>
    <w:p>
      <w:r>
        <w:rPr>
          <w:b/>
        </w:rPr>
        <w:t xml:space="preserve">Quelle: </w:t>
      </w:r>
      <w:r>
        <w:t>https://mcp.opencaselaw.ch/entscheid/vd_findinfo_HC___2013___457</w:t>
      </w:r>
    </w:p>
    <w:p>
      <w:r>
        <w:t>FR: VD_FINDINFO HC / 2013 / 457 du 5 juin 2013</w:t>
      </w:r>
    </w:p>
    <w:p>
      <w:r>
        <w:t>IT: VD_FINDINFO HC / 2013 / 457 del 5 giugno 2013</w:t>
      </w:r>
    </w:p>
    <w:p>
      <w:pPr>
        <w:pStyle w:val="Heading2"/>
      </w:pPr>
      <w:r>
        <w:t>Regeste</w:t>
      </w:r>
    </w:p>
    <w:p>
      <w:r>
        <w:t>EXPERTISE, EXPERTISE PRÉSENTÉE PAR UNE PARTIE, NOUVEAU MOYEN DE PREUVE, ACTE ILLICITE, RESPONSABILITÉ DÉLICTUELLE, MOTIVATION DE LA DÉCISION | 41 CO, 52 CO, 29 al. 3 Cst., 326 al. 1 CPC (CH)</w:t>
      </w:r>
    </w:p>
    <w:p>
      <w:pPr>
        <w:pStyle w:val="Heading2"/>
      </w:pPr>
      <w:r>
        <w:t>Erwägungen</w:t>
      </w:r>
    </w:p>
    <w:p>
      <w:r>
        <w:rPr>
          <w:b/>
        </w:rPr>
        <w:t>E. 1</w:t>
      </w:r>
    </w:p>
    <w:p>
      <w:r>
        <w:t>La dispositif de la décision attaquée a été communiqué aux parties le 17 avril 2013, de sorte que les voies de droit sont régies par le CPC (Code de procédure civile suisse du 19 décembre 2008; RS 272), entré en vigueur le 1 er janvier 2011 (art. 405 CPC; ATF 137 III 127; ATF 137 III 130 ; Tappy, CPC commenté, Bâle 2011, nn. 5 et ss ad art. 405 CPC).</w:t>
      </w:r>
    </w:p>
    <w:p>
      <w:r>
        <w:rPr>
          <w:b/>
        </w:rPr>
        <w:t>E. 2</w:t>
      </w:r>
    </w:p>
    <w:p>
      <w:r>
        <w:t>Le recours est recevable contre les décisions finales de première instance qui ne peuvent faire l'objet d'un appel (art. 319 let. a CPC [Code de procédure civile du 19 décembre 2008 ; RS 272]). Tel est le cas, notamment, dans les affaires patrimoniales, lorsque la valeur litigieuse au dernier état des conclusions est inférieure à 10'000 fr. (cf. art. 308 al. 2 CPC). La valeur du litige étant, en l'espèce de 4'277 fr. 05, la voie du recours est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En l'espèce, la décision attaquée mentionnait de façon erronée les anciennes voies de droit. Se fiant aux indications figurant au pied de cette décision, la recourante a déposé son recours dans un délai de dix jours, alors qu'elle disposait d'un délai de trente jours. Cela n’a pas d’incidence, dés lors que l’acte de recours, déposé à temps, respecte les exigences de l’art. 321 CPC et est donc recevable.</w:t>
      </w:r>
    </w:p>
    <w:p>
      <w:r>
        <w:rPr>
          <w:b/>
        </w:rPr>
        <w:t>E. 2.1</w:t>
      </w:r>
    </w:p>
    <w:p>
      <w:r>
        <w:t>Le recours est recevable pour violation du droit et constatation manifestement inexacte des faits (art. 320 CPC). Le recours est ainsi limité au droit (HohI, Procédure civile, tome lI, 2 e éd., Berne 2010, n. 2543, p. 457).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op. cit.,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Aux termes de l’art. 326 al. 1 CPC, les conclusions, les allégations de faits et les preuves nouvelles sont irrecevables en deuxième instance. En conséquence, l'expertise privée produite le 22 mai 2013 par la recourante est irrecevable.</w:t>
      </w:r>
    </w:p>
    <w:p>
      <w:r>
        <w:rPr>
          <w:b/>
        </w:rPr>
        <w:t>E. 3</w:t>
      </w:r>
    </w:p>
    <w:p>
      <w:r>
        <w:t>La recourante soutient en premier lieu que les prétentions de l’intimée seraient prescrites. Cette question n'a pas été soulevée en première instance. Dès lors que le juge ne peut suppléer d’office le moyen de la prescription (art. 142 CO), le premier juge n'avait pas à aborder ce point. La recourante invoque pour la première fois l’exception de prescription devant l’autorité de recours de sorte qu'il s'agit d'une allégation nouvelle, qui est irrecevable (art. 326 al. 1 CPC). La recourante pouvait soulever cette exception jusqu'à l'audience de jugement au plus tard (cf. Tappy, CPC commenté, n. 41 ad art. 241). Invoqué tardivement, le moyen tiré de la prescription n'a pas être examiné plus avant.</w:t>
      </w:r>
    </w:p>
    <w:p>
      <w:r>
        <w:rPr>
          <w:b/>
        </w:rPr>
        <w:t>E. 4</w:t>
      </w:r>
    </w:p>
    <w:p>
      <w:r>
        <w:t>La recourante considère que le jugement serait lacunaire et imprécis dans la mesure où le témoignage de C.________ sur lequel s’est fondé le premier juge pour retenir que les dégâts causés au véhicule de l’intimée provenaient du dépannage ne figurerait pas dans le jugement. Il ressort du dossier que le premier juge a entendu les témoins C.________ et B.________ lors de l'audience de jugement du 29 juin 2012. Leurs déclarations ont été protocolées dans le procès-verbal de l'audience (cf. ch. 2c supra) qui figure au dossier de la cause, accessible aux parties. Par ailleurs, l'administrateur de la recourante, D.________, a participé à cette audience et a assisté à l'audition des témoins. Il connaît donc le contenu de ces témoignages. Partant, l'argumentation de la recourante ne peut qu'être rejetée.</w:t>
      </w:r>
    </w:p>
    <w:p>
      <w:r>
        <w:rPr>
          <w:b/>
        </w:rPr>
        <w:t>E. 5</w:t>
      </w:r>
    </w:p>
    <w:p>
      <w:r>
        <w:t>La recourante s’en prend ensuite à l’expertise d'B.________ qui n’est, selon elle, pas concluante et très incomplète. Elle fait grief au premier juge — avec certaines précautions "oratoires" il est vrai — d’avoir mené une instruction orientée en choisissant l’expert proposé par l’intimée sans en référer à la recourante. Le grief frise la témérité. Le nom de l’expert B.________ — ainsi que ceux de deux autres experts proposés par l'intimé, à savoir [...] et K.________ — a été soumis avant la mise en oeuvre de l'expertise à la recourante par lettre du 16 juin 2011, cette dernière disposant d’un délai échéant au 30 juin 2011 pour faire valoir d’éventuels motifs de récusation. La recourante ne s'étant pas manifestée, l'expertise a été confiée à B.________. La recourante ayant émis des critiques à l'encontre du rapport d'expertise du 29 octobre 2011, elle a été invitée à préciser si elle sollicitait un complément d'expertise. Elle a alors fait savoir par lettre du 23 décembre 2011, qu’elle se réservait le droit de poser des questions à l’expert et qu’elle ne souhaitait pas un autre expert. Il ne ressort pas davantage des débats que la recourante aurait requis un complément d’expertise. Dans ces conditions, elle est particulièrement mal venue d’exposer de tels griefs devant l'instance de recours. Le moyen ne peut qu’être rejeté.</w:t>
      </w:r>
    </w:p>
    <w:p>
      <w:r>
        <w:rPr>
          <w:b/>
        </w:rPr>
        <w:t>E. 6</w:t>
      </w:r>
    </w:p>
    <w:p>
      <w:r>
        <w:t>La recourante s'en prend ensuite aux conditions d'application de l'art. 41 CO.</w:t>
      </w:r>
    </w:p>
    <w:p>
      <w:r>
        <w:rPr>
          <w:b/>
        </w:rPr>
        <w:t>E. 6.1</w:t>
      </w:r>
    </w:p>
    <w:p>
      <w:r>
        <w:t>S'agissant de l'illicéité, le jugement a retenu qu'en déplaçant le véhicule de l'intimée sans son consentement, la recourante avait porté atteinte au droit de propriété de l'intéressée, qui est un droit absolu.</w:t>
      </w:r>
    </w:p>
    <w:p>
      <w:r>
        <w:rPr>
          <w:b/>
        </w:rPr>
        <w:t>E. 6.1.1</w:t>
      </w:r>
    </w:p>
    <w:p>
      <w:r>
        <w:t>La recourante soutient en premier lieu que la motivation du premier juge est insuffisante sur ce point.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En l'espèce, le premier juge a suffisamment motivé sa décision dans la mesure où l'on comprend clairement que la recourante a commis un acte illicite en déplaçant le véhicule de l'intimée sans autorisation. De plus, contrairement à ce que soutient la recourante, les citations contenues dans le jugement sont vérifiables dès lors qu'il est explicitement fait référence au Commentaire romand du Code des obligations I (Bâle 2003) nonobstant les abréviations utilisées.</w:t>
      </w:r>
    </w:p>
    <w:p>
      <w:r>
        <w:rPr>
          <w:b/>
        </w:rPr>
        <w:t>E. 6.1.2</w:t>
      </w:r>
    </w:p>
    <w:p>
      <w:r>
        <w:t>Elle se prévaut en deuxième lieu d’un motif justificatif tiré de l’illicéité du comportement de l’intimée qui a stationné son véhicule sur une place privée sur laquelle elle n'avait aucun droit (art. 52 al. 3 CO). Selon l'art. 52 CO, l'illicéité peut être levée si l'auteur peut se prévaloir d'un motif justificatif tel que la légitime défense, le consentement de la victime ou la défense personnelle. Il revient à l'auteur du dommage d'en apporter la preuve (Werro, Commentaire romand, Bâle 2003, Code des obligations I, n. 70 ad art. 41 CO et nn. 1 ss ad art. 52 CO). En l'espèce, il n'était pas contestable de considérer que le motif justificatif de l'art. 52 al. 3 CO, qui permet à une personne de recourir à la force afin d'assurer la protection de ses droits – par exception à l'interdiction de se faire justice soi-même – n'était pas réalisé. L'atteinte n'est en effet licite au sens de l'art. 52 al. 3 CO que si l'intéressé entendait protéger ses droits, si l'intervention de l'autorité ne pouvait être obtenue en temps utile et s'il n'existait pas d'autre moyen pour éviter un préjudice (Werro, op. cit., nn. 14 ss ad art. 52 CO). Outre le fait que la recourante n'assurait pas la protection de ses propres droits, elle n'établit pas que les autres conditions de la défense personnelle seraient réalisées. C’est dès lors à bon droit que le premier juge a implicitement retenu que le comportement de l’intimée n’était pas de nature à justifier celui de la recourante.</w:t>
      </w:r>
    </w:p>
    <w:p>
      <w:r>
        <w:rPr>
          <w:b/>
        </w:rPr>
        <w:t>E. 6.2</w:t>
      </w:r>
    </w:p>
    <w:p>
      <w:r>
        <w:t>La recourante estime ensuite qu'aucun lien de causalité n'a été établi, dès lors que l'on doit s'écarter de l'expertise d'B.________. La recourante procède par affirmation, sans rien démontrer, se contentant de contester l'expertise et faisant abstraction du témoignage de C.________. Comme on l'a vu précédemment, il n'y a pas lieu de s'écarter de l'expertise judiciaire (cf. c. 5 supra). Il ressort de celle-ci que l’expert retient deux causes possibles aux dégâts constatés sur le véhicule de l’intimée, soit l’hypothèse d’un accident si lors du choc le véhicule est déplacé alors qu’un essieu est soulevé dans ce même choc ou l’hypothèse d’une différence de rotation entre les essieux provoquée par une force extérieure – comme par exemple un dépannage qui ne respecterait pas la procédure à suivre. La recourante ne prétend pas que le véhicule de l’intimée ait subi un accident. Rien ne permet d’ailleurs de le soutenir. En revanche, le témoin C.________ a affirmé que le collaborateur de la recourante avait tiré la voiture sans mettre de roulettes à l’avant. Lors de cette manoeuvre, il a entendu un bruit. Il a encore précisé que le dépanneur n’était pas à son affaire. Sur ces bases, c’est à juste titre que le premier juge a retenu que le dépannage avait provoqué le dommage à l’exclusion de toute autre cause.</w:t>
      </w:r>
    </w:p>
    <w:p>
      <w:r>
        <w:rPr>
          <w:b/>
        </w:rPr>
        <w:t>E. 6.3</w:t>
      </w:r>
    </w:p>
    <w:p>
      <w:r>
        <w:t>La recourante soutient encore, de manière toute aussi appellatoire, que sa faute ne serait pas établie. Elle ignore toutefois les conclusions de l'expert et les déclarations du témoin C.________ auxquelles se réfère le jugement. Dans la mesure où le premier juge renvoie aux déclarations du témoin, associées aux constatations de l'expert mises en évidence dans le jugement, qui permettent de retenir que le dépannage ne s'est pas fait dans les règles de l'art, la faute est suffisamment établie. Le premier juge en renvoyant aux déclarations du témoin n'avait pas à les répéter, de sorte que la motivation du premier juge est suffisante. Le grief est ainsi infondé.</w:t>
      </w:r>
    </w:p>
    <w:p>
      <w:r>
        <w:rPr>
          <w:b/>
        </w:rPr>
        <w:t>E. 6.4</w:t>
      </w:r>
    </w:p>
    <w:p>
      <w:r>
        <w:t>La recourante fait enfin valoir que l'intimée a commis une faute concomitante. Il y a faute concomitante lorsque le lésé omet de prendre les mesures nécessaires aptes à éviter la survenance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(Werro, op. cit., n. 13 ad art. 44 CO). La preuve d'une faute concomitante incombe à celui qui s'en prévaut, soit à l'auteur du dommage (ATF 112 II 443; Schnyder, Basler Kommentar, 4 e éd., n. 3 ad art. 44 CO). Le stationnement objectivement indu de l'intimée ne justifiait en aucun cas l'enlèvement du véhicule par acte de justice propre, de sorte que le lien de causalité adéquate est de toute manière rompu par le comportement de la recourante. L'oubli de l'intimée de déplacer son véhicule sur sa place de stationnement, qui s'apparente à une simple négligence, permettait également au juge de ne pas réduire le montant du dommage. En d'autres termes, le premier juge n'a pas abusé du large pouvoir d'appréciation laissé par la loi (art. 44 CO; ATF 127 III 453), de sorte que cette solution n'est pas arbitraire.</w:t>
      </w:r>
    </w:p>
    <w:p>
      <w:r>
        <w:rPr>
          <w:b/>
        </w:rPr>
        <w:t>E. 7</w:t>
      </w:r>
    </w:p>
    <w:p>
      <w:r>
        <w:t>En conclusion, le recours doit être rejeté dans la procédure de l'art. 322 al. 1 CPC et le jugement attaqué confirmé. Les frais judiciaires de deuxième instance, arrêtés à 200 fr. (art. 69 al. 1 TFJC [tarif des frais judiciaires civils du 28 septembre 2010; RSV 270.11.5]), sont mis à la charge de la recourante E.________SA, qui succombe (art. 106 al. 1 CPC). L'intimée n'ayant pas été invitée à se déterminer, il n'y a pas lieu d'allouer de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 la recourante E.________SA. IV. L’arrêt motivé est exécutoire. Le président :               Le greffier : Du 5 juin 2013 Le dispositif de l'arrêt qui précède est communiqué par écrit aux intéressés. Le greffier : Du L'arrêt qui précède, dont la rédaction a été approuvée à huis clos, est notifié en expédition complète, par l'envoi de photocopies, à : - Me Gilles-Antoine Hofstetter (pour E.________SA), ‑ M. Jean-Marc Decollogny, aab (pour A.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