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456 vom 27. Juni 2013</w:t>
      </w:r>
    </w:p>
    <w:p>
      <w:r>
        <w:t>VD Tribunal cantonal, 2013-06-27, FR</w:t>
      </w:r>
    </w:p>
    <w:p>
      <w:r>
        <w:rPr>
          <w:b/>
        </w:rPr>
        <w:t xml:space="preserve">Quelle: </w:t>
      </w:r>
      <w:r>
        <w:t>https://mcp.opencaselaw.ch/entscheid/vd_findinfo_HC___2013___456</w:t>
      </w:r>
    </w:p>
    <w:p>
      <w:r>
        <w:t>FR: VD_FINDINFO HC / 2013 / 456 du 27 juin 2013</w:t>
      </w:r>
    </w:p>
    <w:p>
      <w:r>
        <w:t>IT: VD_FINDINFO HC / 2013 / 456 del 27 giugno 2013</w:t>
      </w:r>
    </w:p>
    <w:p>
      <w:pPr>
        <w:pStyle w:val="Heading2"/>
      </w:pPr>
      <w:r>
        <w:t>Regeste</w:t>
      </w:r>
    </w:p>
    <w:p>
      <w:r>
        <w:t>PROTECTION DE L'UNION CONJUGALE, DROIT DE GARDE, LOGEMENT DE LA FAMILLE | 176 al. 3 CC, 273 CC, 274 CC</w:t>
      </w:r>
    </w:p>
    <w:p>
      <w:pPr>
        <w:pStyle w:val="Heading2"/>
      </w:pPr>
      <w:r>
        <w:t>Erwägungen</w:t>
      </w:r>
    </w:p>
    <w:p>
      <w:r>
        <w:rPr>
          <w:b/>
        </w:rPr>
        <w:t>E. 1</w:t>
      </w:r>
    </w:p>
    <w:p>
      <w:r>
        <w:t>Le requérant X.________ et l’intimée Z.________ se sont rencontrés en 2004 et se sont mariés le 7 janvier 2009. De leur union sont issus deux enfants : [...], née le [...] 2006, et [...], né le [...] 2008. Le requérant est également père de quatre enfants nés d’une précédente union. Après le mariage, les relations entre les parties se sont progressivement dégradées, jusqu’à la séparation, le 5 mars 2013.</w:t>
      </w:r>
    </w:p>
    <w:p>
      <w:r>
        <w:rPr>
          <w:b/>
        </w:rPr>
        <w:t>E. 2</w:t>
      </w:r>
    </w:p>
    <w:p>
      <w:r>
        <w:t>Le requérant a été hospitalisé pour des motifs psychiatriques à plusieurs reprises en raison d’une dépression chronique dont il souffre depuis 2005. Il est suivi au Centre de Psychothérapie [...] depuis le 5 octobre 2010, et son état nécessite une prise en charge régulière, associée à un important traitement. Il se trouve en incapacité totale de travail pour une durée indéterminée. Il reçoit le Revenu d’insertion (RI). L’intimée travaille en qualité de sommelière à [...], pour un salaire de 3'400 fr. brut par mois, ceci depuis le mois de décembre 2012. En tenant compte de ses charges incompressibles, bien qu’elle bénéficie de subsides partiels à l’assurance maladie pour elle et ses enfants, son budget est largement déficitaire.</w:t>
      </w:r>
    </w:p>
    <w:p>
      <w:r>
        <w:rPr>
          <w:b/>
        </w:rPr>
        <w:t>E. 3</w:t>
      </w:r>
    </w:p>
    <w:p>
      <w:r>
        <w:t>L’appelant conclut à la séparation. Or, on constate que les parties avaient toutes deux pris cette conclusion en première instance. Ce point n’est dès lors par litigieux et l’ordonnance peut être confirmée à son égard.</w:t>
      </w:r>
    </w:p>
    <w:p>
      <w:r>
        <w:rPr>
          <w:b/>
        </w:rPr>
        <w:t>E. 4</w:t>
      </w:r>
    </w:p>
    <w:p>
      <w:r>
        <w:t>De même, l’interdiction faite à Z.________ de quitter le territoire suisse avec ses enfants a d’ores et déjà été prononcée par le premier juge. L’intimée n’ayant pas déposé d’appel, l’ordonnance est exécutoire sur ce point. On précisera également, en relation avec l’interdiction similaire qui a été faite à l’appelant dans l’ordonnance attaquée, que celui-ci invoque dans ses motifs qu’il n’y a aucun risque de fuite le concernant, mais il ne prend aucune conclusion allant dans ce sens. Il n’y a dès lors pas lieu d’examiner ce grief.</w:t>
      </w:r>
    </w:p>
    <w:p>
      <w:r>
        <w:rPr>
          <w:b/>
        </w:rPr>
        <w:t>E. 5</w:t>
      </w:r>
    </w:p>
    <w:p>
      <w:r>
        <w:t>L’appelant conclut à ce qu’ordre soit donné à l’intimée de déposer les documents d’identité des enfants [...] et [...] auprès du greffe du Tribunal civil de l’arrondissement de Lausanne. Or, il ressort du dossier que ces documents ont d’ores et déjà été déposés ensuite de l’ordonnance de mesures superprovisionnelles du 7 mars 2013, l’ordre de dépôt ayant été maintenu selon le chiffre VIII du dispositif de l’ordonnance attaquée. L’appel est dès lors sans objet sur ce point.</w:t>
      </w:r>
    </w:p>
    <w:p>
      <w:r>
        <w:rPr>
          <w:b/>
        </w:rPr>
        <w:t>E. 6</w:t>
      </w:r>
    </w:p>
    <w:p>
      <w:r>
        <w:t>a) En fin de compte, l’unique enjeu de l’appel réside dans la question du droit de garde des enfants, et, partant, dans la fixation du droit de visite de l’autre parent et de l’attribution du logement familial. L’appelant allègue que l’intimée ne serait « pas digne de s’occuper de l’éducation de ses enfants », dès lors qu’elle sortirait régulièrement le soir pour revenir dans un état d’ébriété avancé, ou encore qu’elle n’hésiterait pas à laisser les enfants sous la surveillance d’une mineure de douze ans. Elle aurait également hébergé durant de nombreux mois sa sœur et sa nièce, entraînant ainsi « une samba permanente » dans l’appartement familial. b) En vertu de l’art. 176 al. 3 CC (Code civil suisse du 10 décembre 1907, RS 210), relatif à l’organisation de la vie séparée, lorsque les époux ont des enfants mineurs, le juge des mesures protectrices ordonne les mesures nécessaires d’après les dispositions sur les effets de la filiation (cf. art. 273 ss CC). Seul le droit de garde est ordinairement attribué dans le cadre de la procédure des mesures protectrices de l’union conjugale ou lorsque des mesures provisionnelles sont ordonnées pour la procédure de divorce (ATF 136 III 353 c. 3.1, JT 2010 1491). Les principes posés par la jurisprudence et la doctrine en matière de divorce sont applicables par analogie (Chaix, Commentaire Romand, n. 19 ad art. 176 CC ; Verena Bräm, Commentaire zurichois, n. 89 et 101 ad art. 176 CC ; TF 5A_693/2007 du 18 février 2008 ; TF 5A_69/201 1 du 27 février 2012 c. 2.1, in FamPra.ch 2012 p. 817). Pour l’attribution de la garde, le bien de l’enfant prime la volonté des parents. L’examen porte alors en premier lieu sur les capacités éducatives des parents. En cas de capacités équivalentes, la disponibilité des parents est déterminante, surtout chez les enfants en bas âge. En cas de disponibilité équivalente, la stabilité et les relations familiales sont à examiner. Selon les circonstances, la disponibilité peut cependant céder le pas à la stabilité. Enfin, en fonction de l’âge, il peut être tenu compte du désir de l’enfant. Ces critères peuvent être mis en balance avec d’autres, tels que la volonté d’un parent à coopérer avec l’autre ou la nécessité de ne pas séparer la fratrie (TF 5A_834/2012 du 26 février 2013 c. 4.1). Au nombre des critères essentiels pour l’attribution de la garde ou de l’autorité parentale, entrent en ligne de compte les relations personnelles entre parents et enfant, les capacités éducatives respectives des parents, leur aptitude à prendre soin personnellement de l’enfant et à s’en occuper ainsi qu’à favoriser les contacts avec l’autre parent, de même que, le cas échéant, les rapports qu’entretiennent plusieurs enfants entre eux. Il convient de choisir la solution qui, au regard des données de l’espèce, est la mieux à même d’assurer à l’enfant la stabilité des relations nécessaires à un développement harmonieux des points de vue affectif, psychique, moral et intellectuel. Ainsi, l’intérêt de l’enfant prime dans le choix de son attribution à l’un des deux parents. Si le juge ne peut se contenter d’attribuer l’enfant au parent qui en a eu la garde pendant la procédure, ce critère jouit d’un poids particulier lorsque les capacités d’éducation et de soin des parents sont similaires (ATF 136 I 178 c. 5.3 ; ATF 117 Il 353 c. 3 ; ATF 115 II 206 c. 4a ; ATF 115 Il 317 c. 2 ; TF 5A_181/2008 du 25 avril 2008, FamPra.ch 4/2008, n. 104 p. 98 ; TF 5C.238/2005 du 2 novembre 2005, FamPra.ch 2006 n. 20 p. 193). A capacités équivalentes, il n’est pas arbitraire d’attribuer le droit de garde au parent qui a démontré depuis plusieurs mois qu’il pouvait s’occuper de l’enfant (TF 5A_693/2007 du 18 février 2008 concernant des mesures protectrices de l’union conjugale). Toujours à capacités équivalentes, la disponibilité d’un parent à collaborer avec l’autre pour ce qui a trait à l’enfant jouera un rôle déterminant (RDT 2008 p. 354). c) En l’espèce, rien ne permet de dire que l’intimée aurait démérité. Lors de la crise conjugale, elle s’est réfugiée au foyer [...] avec ses enfants, ce qui démontre qu’elle se soucie de leur sécurité et de leur bien-être, contrairement à ce qu’allègue l’appelant. Elle travaille certes à plein temps, mais elle s’est organisée en conséquence afin que ses enfants soient pris en charge par des personnes de confiance durant son absence, soit sa propre mère ainsi que l’ [...] et la garderie [...], à [...]. Tout porte à considérer qu’elle saura (ou aura su) trouver des moyens de garde adaptés également après son séjour au Centre [...], notamment avec l’aide de sa mère. Il ressort d’ailleurs du dossier qu’elle a déjà inscrit son fils [...] auprès d’une garderie de Renens. De plus, les allégations de l’appelant relatives aux absences et à l’état d’ébriété fréquent de l’intimée ne sont étayées par aucun élément objectif. Les photographies produites en pièce 16, qui ne sont pas datées et qui ne figuraient pas au dossier de première instance, ne sont pas probantes et ne laissent pas penser que l’intimée serait « indigne d’élever ses enfants ». La stabilité professionnelle qu’elle a retrouvée depuis plus de six mois ainsi que les moyens de garde durables qu’elle a mis en place tendent au contraire à démontrer sa capacité à mener une vie équilibrée. De son côté, l’appelant présente une grande fragilité psychique, comme le démontrent les hospitalisations successives à [...]. Il est soumis à un traitement régulier important et a connu plusieurs périodes d’hospitalisation au cours des dernières années. Certes, les efforts qu’il fournit ainsi que le fait que ses médecins n’ont pas émis d’avis négatif quant au maintien d’une relation avec ses enfants sont à prendre en considération, de sorte que le large droit de visite fixé par le premier juge doit être confirmé, également au regard du fait qu’il lui appartient de trouver un lieu de vie adapté. Toutefois, en l’état, il va de l’intérêt des enfants que ceux-ci soient confiés à la mère, afin de maintenir pour eux la stabilité acquise auprès d’elle. Il en découle que le droit de garde à la mère et le droit de visite au père, tels que définis par le premier juge, doivent être maintenus.</w:t>
      </w:r>
    </w:p>
    <w:p>
      <w:r>
        <w:rPr>
          <w:b/>
        </w:rPr>
        <w:t>E. 7</w:t>
      </w:r>
    </w:p>
    <w:p>
      <w:r>
        <w:t>L’appelant conclut à ce que le logement familial lui soit attribué même dans le cas où le droit de garde des enfants à la mère était maintenu. A cet effet, il invoque ses problèmes de santé et les « conséquences néfastes et dangereuses » qu’une décision contraire pourrait avoir sur lui. Là encore, il en va de l’intérêt des enfants de leur assurer une certaine stabilité en maintenant le cadre de vie qu’ils ont connu jusqu’alors. Comme l’a considéré le premier juge, il appartient à l’intimée de trouver un lieu de vie plus adapté à une famille de trois personnes, et ceci le plus rapidement possible. Toutefois, dans l’intervalle, le droit de garde des enfants allant à l’intimée, celle-ci doit également pouvoir se voir attribuer la jouissance du logement familial. Au demeurant, l’effet suspensif ayant été refusé à l’appel, l’appelant a en principe d’ores et déjà quitté l’appartement, conformément au chiffre IV du dispositif de l’ordonnance attaquée. Il n’y a dès lors pas lieu de modifier la situation actuelle, et l’appel doit être rejeté sur ce point également.</w:t>
      </w:r>
    </w:p>
    <w:p>
      <w:r>
        <w:rPr>
          <w:b/>
        </w:rPr>
        <w:t>E. 8</w:t>
      </w:r>
    </w:p>
    <w:p>
      <w:r>
        <w:t>Enfin, le droit de garde des enfants ainsi que l’attribution du logement familial allant à la mère, il n’y a bien entendu pas lieu d’allouer de contribution à l’appelant pour l’entretien des enfants du couple. En outre, c’est à raison que le premier juge a considéré que la situation financière respective des parties ne permettait pas l’allocation d’une pension.</w:t>
      </w:r>
    </w:p>
    <w:p>
      <w:r>
        <w:rPr>
          <w:b/>
        </w:rPr>
        <w:t>E. 9</w:t>
      </w:r>
    </w:p>
    <w:p>
      <w:r>
        <w:t>a) En conclusion, l’appel doit être rejeté. b) La requête d’assistance judiciaire de l’appelant doit également être rejetée. Selon l’art. 117 CPC, une personne a droit à l’assistance judiciaire si elle ne dispose pas de ressources suffisantes et si sa cause ne paraît pas dépourvue de toute chance de succès, ces deux conditions étant cumulatives. En l’espèce, la seconde condition posée par l’art. 117 CPC n’est pas remplie. C’est en effet uniquement la question du droit de garde des enfants qui pouvait apparaître véritablement litigieuse ; or l’appel n’a soulevé ni faits ni éléments de droit majeurs à cet égard, le raisonnement factuel et juridique du premier juge échappant à toute critique. Son appel étant dénué de toute chance de succès, l’assistance judiciaire doit être refusée à l’appelant. c) Les frais judiciaires de deuxième instance, arrêtés à 600 fr. (art 65 al. 2 TFJC [tarif des frais judiciaires civils du 28 septembre 2010, RSV 270.11.5]), sont mis à la charge de l’appelant X.________, qui succombe (art. 106 al. 1 CPC). d) N’ayant pas été invitée à se déterminer, l’intimée n’a pas droit à des dépens. Par ces motifs, le Juge délégué de la Cour d’appel civile du Tribunal cantonal, statuant à huis clos, en application de l'art. 312 al. 1 CPC, prononce : I. L’appel est rejeté. II. L’ordonnance est confirmée. III. La requête d’assistance judiciaire est rejetée. IV. Les frais judiciaires de deuxième instance, arrêtés à 600 fr. (six cents francs) sont mis à la charge de l’appelant X.________. V. L’arrêt motivé est exécutoire. Le juge délégué : La greffière : Du 28 juin 2013 Le dispositif de l'arrêt qui précède est communiqué par écrit aux intéressés. La greffière : Du L'arrêt qui précède, dont la rédaction a été approuvée à huis clos, est notifié en expédition complète, par l'envoi de photocopies, à : ‑ Me Christian Favre, avocat (pour X.________), ‑ Me Charlotte Iselin, avocate (pour Z.________).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