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446 vom 24. Mai 2013</w:t>
      </w:r>
    </w:p>
    <w:p>
      <w:r>
        <w:t>VD Tribunal cantonal, 2013-05-24, FR</w:t>
      </w:r>
    </w:p>
    <w:p>
      <w:r>
        <w:rPr>
          <w:b/>
        </w:rPr>
        <w:t xml:space="preserve">Quelle: </w:t>
      </w:r>
      <w:r>
        <w:t>https://mcp.opencaselaw.ch/entscheid/vd_findinfo_HC___2013___446</w:t>
      </w:r>
    </w:p>
    <w:p>
      <w:r>
        <w:t>FR: VD_FINDINFO HC / 2013 / 446 du 24 mai 2013</w:t>
      </w:r>
    </w:p>
    <w:p>
      <w:r>
        <w:t>IT: VD_FINDINFO HC / 2013 / 446 del 24 maggio 2013</w:t>
      </w:r>
    </w:p>
    <w:p>
      <w:pPr>
        <w:pStyle w:val="Heading2"/>
      </w:pPr>
      <w:r>
        <w:t>Regeste</w:t>
      </w:r>
    </w:p>
    <w:p>
      <w:r>
        <w:t>ASSISTANCE JUDICIAIRE, INDEMNITÉ{EN GÉNÉRAL} | 110 CPC (CH), 122 al. 1 let. a CPC (CH), 319 let. b ch. 1 CPC (CH), 322 al. 1 CPC (CH), 2 al. 1 RAJ</w:t>
      </w:r>
    </w:p>
    <w:p>
      <w:pPr>
        <w:pStyle w:val="Heading2"/>
      </w:pPr>
      <w:r>
        <w:t>Erwägungen</w:t>
      </w:r>
    </w:p>
    <w:p>
      <w:r>
        <w:rPr>
          <w:b/>
        </w:rPr>
        <w:t>E. 1</w:t>
      </w:r>
    </w:p>
    <w:p>
      <w:r>
        <w:t>Selon l'art. 319 let. b ch. 1 CPC (Code de procédure civile du 19 décembre 2008, RS 272), le recours est recevable contre les autres décisions et ordonnances d'instruction de première instance dans les cas prévus par la loi. En l'espèce, le litige porte sur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cette voie de droit est ouverte.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dix jours (art. 321 al. 2 CPC) lorsqu'il est dirigé contre une décision dont l'objet se borne à la fixation d'une indemnité d'avocat d'office. La jurisprudence et la doctrine admettent que le conseil juridique dispose à titre personnel d'un droit de recours au sujet de la rémunération équitable accordée (ATF 131 V 153 c. 1; Tappy, op. cit., n. 22 ad art. 122 CPC, p. 503).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lI,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se plaint d’une réduction arbitraire des heures de travail consacrées au dossier de sa cliente du 21 octobre 2011 au 27 novembre 2012 et facturées à titre intermédiaire. Il confirme avoir accompli onze heures et trente minutes dans ce dossier pour cette période, temps de travail pour lequel il doit être rémunéré. b) Aux termes de l'art. 122 al. 1 let. a CPC, le conseil juridique commis d'office est rémunéré équitablement par le canton. L'avocat d'office a droit au remboursement intégral de ses débours s'inscrivant dans le cadre de l'accomplissement normal de sa tâche, plus à une indemnité s'apparentant aux honoraires d'un avocat de choix, mais qui peut être inférieure à ces honoraires (ATF 122 I 1 c. 3a; ATF 117 la 22 c. 4a; TF 6B_745/2009 du 12 novembre 2009 c. 10.1; TF 6B_273/2009 du 2 juillet 2009 c. 2.1; TF 6B_960/2008 du 22 janvier 2009 c. 1.1; TF 6B_947/2008 du 16 janvier 2009 c. 2;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précité c. 3a; TF 6B_745/2009 du 12 novembre 2009 c. 10.1; TF 6B_273/2009 du 2 juillet 2009 c. 2.1; TF 6B_102/2009 du 14 avril 2009 c. 2; TF 6B_960/2008 du 22 janvier 2009 c. 1.1;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Pour fixer la quotité de l’indemnité du conseil d’office, l’autorité cantonale doit s’inspirer des critères applicables à la modération des honoraires d’avocat (Donzallaz, Loi sur le Tribunal fédéral, Commentaire, Berne 2008, n. 1775 ad art. 64 LTF, p. 715 ; ATF 122 I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(CREC 25 janvier 2013/29, in JT 2013 III 35 ss. ; TF 5P_462/2002 du 30 janvier 2003; Pdt TC 23 juillet 2001/37); l'avocat doit toutefois bénéficier d'une marge d'appréciation suffisante pour déterminer l'importance du travail qu'exige l'affaire. Le juge de l’assistance judiciaire est ainsi compétent pour déterminer le montant de l’indemnité d’office et allouer celui-ci comme le ferait le juge civil saisi d’une action en paiement de ses honoraires par l’avocat. Contrairement au juge de la modération, il ne se bornera pas à taxer les opérations portées en compte au regard des prestations effectivement fournies par l’avocat, mais tranchera également le point de fond de savoir si l’avocat a bien exécuté son mandat, examinant une violation éventuelle des obligations contractuelles de la part de ce dernier (CREC 25 janvier 2013/29 in JT 2013 III 35 c. 4b). c) En l’espèce, si l’on considère le nombre de pages de la requête de conciliation (six avec la page de garde), laquelle comporte quarante allégués uniquement factuels, l’on peut admettre que la rédaction d’une telle pièce de procédure n’a pas excédé une heure, surtout lorsque l’on considère, comme le retient la décision attaquée, que le 12 octobre 2012 le recourant adressait une note d’honoraires pour les opérations effectuées du 4 mars au 31 décembre 2010 dans la même cause. Le recourant ayant de bonnes connaissances du dossier, la confection de l’onglet et des pièces sous bordereau n’a certainement pas excédé plus de trente minutes. Le nombre de correspondances annoncées par le recourant, soit quatorze, paraît manifestement surfait. La cause n’est en effet qu’au stade de la procédure de conciliation et la nature de cette cause avait déjà nécessité neuf correspondances avant le dépôt de la requête, lesquelles ont fait l’objet de la note d’honoraires du 12 octobre 2012. En retenant une dizaine de lettres totalisant une heure de travail, le premier juge n’a pas abusé de son pouvoir d’appréciation. Il en est de même du nombre de téléphones : son appréciation doit être confirmée lorsqu’il retient cinq entretiens téléphonique, lesquels ne sont pas des conférences, à cinq minutes l’unité, étant précisé que ces entretiens téléphoniques succèdent à six entretiens semblables effectués dans la même cause et déjà rémunérés en vertu de la note d’honoraires du 12 octobre 2012. En tenant compte encore d’une heure de conférence avec la cliente, d’une heure de préparation et révision du dossier en vue de l’audience de conciliation, qui a duré trente-cinq minutes, le total des heures accomplies par le recourant s’avère être de cinq heures et trente minutes. Le tarif horaire de l’avocat d’office étant de 180 fr., l’indemnité d’office doit être fixée à 990 fr., à laquelle doit être ajoutée la somme de 79 fr. 20 à titre de TVA par 8%. Conformément à la jurisprudence de la cour de céans (JT 2013 III 3), l’indemnité forfaitaire pour les frais de vacation doit être retenue à hauteur de 120 fr., la somme de 9 fr. 60 en sus à titre de TVA. Quant aux débours, non contestés par le recourant, ils doivent être considérés à hauteur de 32 fr. 60. L’indemnité d’office du recourant doit ainsi être fixée à 1'231 fr. 40. Partant, les griefs de ce dernier doivent être rejetés.</w:t>
      </w:r>
    </w:p>
    <w:p>
      <w:r>
        <w:rPr>
          <w:b/>
        </w:rPr>
        <w:t>E. 4</w:t>
      </w:r>
    </w:p>
    <w:p>
      <w:r>
        <w:t>Au vu de ce qui précède, le recours manifestement mal fondé doit être rejeté en vertu de l’art. 322 al. 1 CPC et la décision entreprise confirmée.</w:t>
      </w:r>
    </w:p>
    <w:p>
      <w:r>
        <w:rPr>
          <w:b/>
        </w:rPr>
        <w:t>E. 5</w:t>
      </w:r>
    </w:p>
    <w:p>
      <w:r>
        <w:t>Les frais judiciaires de deuxième instance, arrêtés à 100 fr., seront mis à la charge du recourant qui succombe (art. 106 al. 1 CPC). Il n’y a pas lieu d’allouer de dépens.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B.________. IV. L’arrêt motivé est exécutoire. Le président :               La greffière : Du 27 mai 2013 Le dispositif de l'arrêt qui précède est communiqué par écrit aux intéressés. La greffière : Du L'arrêt qui précède, dont la rédaction a été approuvée à huis clos, est notifié en expédition complète, par l'envoi de photocopies, à : ‑ Me B.________, ‑ Mme H.________. La Chambre des recours civile considère que la valeur litigieuse est inférieure à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