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437 vom 18. Juli 2013</w:t>
      </w:r>
    </w:p>
    <w:p>
      <w:r>
        <w:t>VD Tribunal cantonal, 2013-07-18, FR</w:t>
      </w:r>
    </w:p>
    <w:p>
      <w:r>
        <w:rPr>
          <w:b/>
        </w:rPr>
        <w:t xml:space="preserve">Quelle: </w:t>
      </w:r>
      <w:r>
        <w:t>https://mcp.opencaselaw.ch/entscheid/vd_findinfo_HC___2013___437</w:t>
      </w:r>
    </w:p>
    <w:p>
      <w:r>
        <w:t>FR: VD_FINDINFO HC / 2013 / 437 du 18 juillet 2013</w:t>
      </w:r>
    </w:p>
    <w:p>
      <w:r>
        <w:t>IT: VD_FINDINFO HC / 2013 / 437 del 18 luglio 2013</w:t>
      </w:r>
    </w:p>
    <w:p>
      <w:pPr>
        <w:pStyle w:val="Heading2"/>
      </w:pPr>
      <w:r>
        <w:t>Regeste</w:t>
      </w:r>
    </w:p>
    <w:p>
      <w:r>
        <w:t>OBLIGATION D'ENTRETIEN, CONJOINT, ENFANT, REVENU ANNUEL MOYEN, REVENU DÉTERMINANT | 163 CC, 176 al. 1 ch. 1 CC, 176 al. 1 ch. 3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cf. Tappy, Les voies de droit du nouveau Code de procédure civile, JT 2010 III 121). L'appel est recevable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deux enfants mineurs, le litige est régi par la maxime inquisitoire illimitée de l'art. 296 CPC (Hohl, op. cit. nn. 1166 ss et 2414 ss). Les pièces produites par les parties sont donc susceptibles d'être examinées par le juge de l'appel en application de l'art. 317 al. 1 CPC.</w:t>
      </w:r>
    </w:p>
    <w:p>
      <w:r>
        <w:rPr>
          <w:b/>
        </w:rPr>
        <w:t>E. 3</w:t>
      </w:r>
    </w:p>
    <w:p>
      <w:r>
        <w:t>L’appelant fait valoir que ses revenus ont diminué depuis le début de l’année 2013 et que la pension arrêtée par le premier juge pour l’entretien des siens ne lui permet plus de couvrir ses propres charges. Il conteste le revenu mensuel net retenu par le premier juge, se réfèrant à cet égard aux salaires versés par [...] pour les mois de décembre 2012 à mai 2013, et soutient que la contribution d’entretien querellée entame son propre minimum vital.</w:t>
      </w:r>
    </w:p>
    <w:p>
      <w:r>
        <w:rPr>
          <w:b/>
        </w:rPr>
        <w:t>E. 3.1.1</w:t>
      </w:r>
    </w:p>
    <w:p>
      <w:r>
        <w:t>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TF 5A_475/2011 du 12 décembre 2011 c. 4.1.;  TF 5A_205/2010 c. 4.2.3, publié in FamPra.ch 2010, p. 894 ; TF 5A_2/2008 du 19 juin 2008, publié in FamPra.ch 2008, p. 941 ; TF 5A_345/2007 du 22 janvier 2008, publié in FamPra.ch 2008, p. 621 ), méthode qui implique un calcul concret (TF 5A_860/2011 du 11 juin 2012 c. 5.1; TF 5A_248/2012 du 28 juin 2012 c. 6.1). La fixation de la contribution d’entretien ne doit en effet pas anticiper sur la liquidation du régime matrimonial. C'est au créancier de la contribution d'entretien qu'il incombe de préciser les dépenses nécessaires à son train de vie et de les rendre vraisemblables (TF 5A_41/2011 du 10 août 2011 c. 4.1; TF 5A_27/2009 du 2 octobre 2009 c. 4; TF 5A_ 288/2008 du 27 août 2008 c. 5.4; TF 5A_732/2007 du 4 avril 2008 c. 2).</w:t>
      </w:r>
    </w:p>
    <w:p>
      <w:r>
        <w:rPr>
          <w:b/>
        </w:rPr>
        <w:t>E. 3.1.2</w:t>
      </w:r>
    </w:p>
    <w:p>
      <w:r>
        <w:t>En tant que des enfants mineurs sont concernés, le juge ordonne les mesures nécessaires d'après les dispositions sur les effets de la filiation (art. 176 al. 3 CC).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 ; CACI 30 mars 2011/40 ; CACI 20 octobre 2011/307).</w:t>
      </w:r>
    </w:p>
    <w:p>
      <w:r>
        <w:rPr>
          <w:b/>
        </w:rPr>
        <w:t>E. 3.2</w:t>
      </w:r>
    </w:p>
    <w:p>
      <w:r>
        <w:t>En l’espèce, l’application de la méthode dite du maintien du train de vie antérieur n’est pas remise en cause par l’appelant. Il conteste en revanche le calcul de sa capacité financière tel qu’effectué par le premier juge qui a retenu, sur la base des salaires versés par [...] au cours de l’année 2011, que l’appelant réalisait un revenu annuel net de 328'081 fr., allocations familiales par 4’800 fr. comprises, ainsi qu’un revenu annuel net de 48'237 fr. pour son activité de médecin indépendant, de sorte que son revenu mensuel net s’élevait à un montant arrondi de 31'000 fr. ([328'081 fr. – 4'800 fr. : + 48'237 fr.] : 12). Les salaires versés mensuellement par [...], qui constituent l’essentiel des revenus réalisés par l’appelant, comportent une part fixe, s’élevant à quelque 5'200 fr. par mois, et une part variable comprenant, outre des indemnités de garde, divers postes de rémunération à l’acte, variant d’un mois à l’autre en fonction du nombre d’intervention réalisés, ainsi que de la couverture d’assurance du patient. Ainsi l’appelant a plaidé que de moins en moins de patients avaient une couverture privée d’assurance-maladie de sorte que ces revenus baissaient. Il n’a toutefois apporté aucune explication sur l’impact soudain depuis janvier 2013 de cette tendance, qui paraît vraisemblable mais qui n’est pas établie, sur ses revenus. S’agissant de revenus fluctuants, il n’y pas lieu de s’arrêter comme le soutient l’appelant, aux revenus perçus au cours des derniers mois, qui ne suffisent pas à eux seuls à établir la situation matérielle de l’intéressé. On peut à cet égard se référer à la jurisprudence rendue par le Tribunal fédéral sur le revenu des indépendants, qui dispose qu’en cas de revenus fluctuants, pour obtenir un résultat fiable, il convient de tenir compte, en général, du bénéfice net moyen réalisé durant plusieurs années (TF 5A_246/2009 du 22 mars 2010 c. 3.1, in FamPra.ch 2010 678 et les références). Plus les fluctuations de revenus sont importantes et les données fournies par l'intéressé sont incertaines, plus la période de comparaison doit être longue (TF 5A_246/2009 précité c. 3.1 et la référence; TF 5A_259/2012 du 14 novembre 2012 c. 4.1). Dans le même ordre d’idées, le Tribunal fédéral a estimé que si des parts de salaire (p.ex commissions, pourboires ou bonus) étaient versées à intervalles irréguliers, si leur montant était irrégulier, voire si elles faisaient l'objet d'un versement unique, il convenait de considérer le revenu comme variable, de sorte que les calculs devaient se baser sur une valeur moyenne établie sur une période considérée comme représentative (TF 5A_686/2010 du 6 décembre 2010 c. 2.3., FamPra.ch 2011 p. 483). Compte tenu des revenus fluctuants de l’appelant, il y a lieu de se fonder, pour le calcul de sa capacité financière, sur la moyenne des revenus réalisés par l’intéressé au cours des dernières années, qu’il s’agisse de son activité salariée, principale ou accessoire, ou de son activité indépendante. L’appelant a réalisé un revenu mensuel net moyen de 33'446 fr. en 2011 (26'940 fr. pour [...] + 2'486 fr. pour [...] + 4'020 fr. pour l’activité indépendante), de 33'219 fr. en 2012 (29'199 fr. pour [...] + 4'020 fr. pour l’activité indépendante) et de 23'991 fr. en 2013 (19'971 fr. pour [...] + 4'020 fr. pour l’activité indépendante), soit un revenu mensuel moyen de 30'218 fr. ([33'446 fr. + 33'219 fr. + 23'991 fr.] : 3) que l’on retiendra à titre de revenu net effectif de l’appelant. Ce revenu ne présente qu’une légère variation par rapport au montant de 31'000 fr. retenu par le premier juge ; on examinera dans les considérants qui suivent si cette variation est susceptible d’influer sur le montant de la contribution d’entretien mise à la charge de l’appelant.</w:t>
      </w:r>
    </w:p>
    <w:p>
      <w:r>
        <w:rPr>
          <w:b/>
        </w:rPr>
        <w:t>E. 4</w:t>
      </w:r>
    </w:p>
    <w:p>
      <w:r>
        <w:t>L’appelant soutient que l’intimée serait en mesure d’augmenter son taux d’activité, dès lors que les enfants sont autonomes, et de réaliser, compte tenu de ses qualifications professionnelles, un revenu supérieur à celui obtenu dans son emploi actuel, rémunéré à l’heure.</w:t>
      </w:r>
    </w:p>
    <w:p>
      <w:r>
        <w:rPr>
          <w:b/>
        </w:rPr>
        <w:t>E. 4.1</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w:t>
      </w:r>
    </w:p>
    <w:p>
      <w:r>
        <w:rPr>
          <w:b/>
        </w:rPr>
        <w:t>E. 4.2</w:t>
      </w:r>
    </w:p>
    <w:p>
      <w:r>
        <w:t>En l’espèce, il apparaît que l’intimée exerce à [...] une activité d’infirmière à la demande, représentant un taux d’activité de 30 à 40%, qui lui procure un revenu mensuel moyen de l’ordre de 2'000 francs. Le premier juge a estimé qu’au vu de son état de santé, on ne saurait exiger de l’intéressée qu’elle augmente son taux d’occupation ou qu’elle reprenne son activité d’infirmière anesthésiste. Ce faisant, le premier juge n’a pas abusé de son pouvoir d’appréciation. Les problèmes de santé de l’intimée sont avérés. On ne saurait en effet s’écarter du certificat médical du 22 novembre 2012 du [...], au motif que ce dernier est rhumatologue dans l’hôpital dans lequel travaille l’intimée et que le bilan postopératoire en avril 2011 était bon. Rien n’indique en effet qu’il s’agit d’un certificat médical de complaisance. Il décrit une évolution favorable sur le plan organique, mais également une problématique psychologique et conclut à reconnaître à l’intimée une capacité de travail de 50%. Ayant été opérée de deux hernies cervicales, elle n’est plus en mesure de porter de lourdes charges et donc de reprendre son activité d’infirmière anesthésiste. Une première reprise de son activité d’infirmière anesthésiste a conduit à un arrêt de travail en novembre 2011. Compte tenu de sa maladie et de sa reprise d’une activité depuis juillet 2012, on ne saurait exiger aujourd’hui de l’intimée la prise d’un travail à un taux sensiblement supérieur à celui qu’elle déploie actuellement, bien que ses enfants aient atteint l’âge de 14 ans : le poste qu’elle occupe auprès de la [...] est adapté à son état de santé comme à sa situation familiale, puisqu’elle n’a pas à effectuer des nuits, ce qui paraît à l’évidence adéquat. Par ailleurs, ce poste devrait, selon les déclarations de l’intimée, lui permettre d’occuper dès la fin de l’année un poste fixe à plein temps au sein de ce même établissement, qu’elle partagerait avec un collègue, et donc de porter son activité à 50%. Il n’y a en conséquence pas lieu d’exiger d’elle qu’elle cherche immédiatement à augmenter son taux d’activité à 50%, ni à un taux supérieur. Au vu de l’ensemble des circonstances évoquées ci-dessus, c’est à bon droit que le premier juge a retenu à titre de revenu mensuel moyen de l’intimée un montant de l’ordre de 2'000 francs.</w:t>
      </w:r>
    </w:p>
    <w:p>
      <w:r>
        <w:rPr>
          <w:b/>
        </w:rPr>
        <w:t>E. 5</w:t>
      </w:r>
    </w:p>
    <w:p>
      <w:r>
        <w:t>L’appelant conteste le train de vie retenu par le premier juge pour son épouse et leurs deux enfants. Il fait valoir qu’il a établi le récapitulatif qui a servi à la détermination dudit train de vie dans le but de démontrer à son épouse que ses dépenses n’étaient plus gérables, et que ce budget qui laisse apparaître un déficit ne reflète pas les besoins réels de l’intéressée. L’appelant s’oppose en particulier à la prise en considération des frais dits « variables », s’élevant à la somme de 7'621 francs.</w:t>
      </w:r>
    </w:p>
    <w:p>
      <w:r>
        <w:rPr>
          <w:b/>
        </w:rPr>
        <w:t>E. 5.1</w:t>
      </w:r>
    </w:p>
    <w:p>
      <w:r>
        <w:t>En application de la méthode dite du train de vie antérieur (cf. supra c. 3.1.1). l’époux créancier peut prétendre à ce que la pension soit fixée de façon telle que son train de vie durant la vie commune soit maintenu.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La maxime inquisitoire ne dispense pas le crédirentier de son devoir de collaborer et donc de préciser les dépenses nécessaires à son train de vie et de rendre celles-ci vraisemblables (TF 5A_661/2011 du 16 février 2012 c. 4.2.; TF 5A_385/2012 du 20 septembre 2012 c. 6.5).</w:t>
      </w:r>
    </w:p>
    <w:p>
      <w:r>
        <w:rPr>
          <w:b/>
        </w:rPr>
        <w:t>E. 5.2</w:t>
      </w:r>
    </w:p>
    <w:p>
      <w:r>
        <w:t>En l’espèce, le premier juge a retenu que le train de vie de l’intimée et des deux enfants du couple s’élevait à 17'965 fr. par mois, soit un montant de 6'164 fr. en ce qui concerne les dépenses fixes, de 7'621 fr. en ce qui concerne les frais variables, de 4'000 fr. pour les impôts, et de 180 fr. pour les frais d’électricité . Cela étant, il apparaît que le poste de 7'621 fr. paraît quelque peu exagéré, compte tenu des dépenses qu’il est présumé couvrir. On se réfère à cet égard au budget établi par l’intimée, qui laisse apparaître des postes, tels les soins (958 fr.), la femme de ménage (720 fr.), les loisirs et restaurants (1'000 fr.) que l’on ne saurait qualifier de raisonnables au vu de la jurisprudence précitée. Au demeurant le budget qui retient le poste de 7'621 fr. présentait un déficit de 1'930 fr. 30 par mois, cela avant même que l’intimée ne quitte la villa conjugale pour prendre à son tour un logement en location. Sur le vu de ce qui précède, le train de vie de l’intimée et de ses deux enfants sera réduit d’un montant correspondant à la moitié de ce déficit, soit un montant de 965 fr., de sorte que les dépenses totales de ceux-ci seront arrêtées à un montant arrondi de 17'000 fr. (17'965 fr. – 965 fr.). De ce montant, on déduira la part de l’intimée aux charges de la villa conjugale, à raison de 2'300 fr., ainsi que son salaire mensuel moyen, à concurrence de 2'000 francs. Le chiffre I du prononcé attaqué sera ainsi réformé en ce sens que l’appelant contribuera à l’entretien des siens par le versement d’une contribution mensuelle de 12'700 fr. (17'000 fr. – 2'300 fr. – 2'000 fr.), plus allocations familiales, dès le 1 er janvier 2013. Après versement de cette contribution et paiement de l’entier des charges de la villa conjugale, il reste à l’appelant un disponible de 12'860 fr. pour couvrir ses propres charges (30'218 fr. – 12'700 fr. – 4'618 fr.), soit un montant proche de son estimation, s’élevant à 13'310 fr. 40, charges d’impôt par 5'611 fr. 80 comprise. Au demeurant, on peut exiger de l’appelant qu’il réduise son train de vie au moins dans une mesure équivalente à celle requise de l’intimée, soit un montant de 965 fr. à titre de participation au déficit du couple.</w:t>
      </w:r>
    </w:p>
    <w:p>
      <w:r>
        <w:rPr>
          <w:b/>
        </w:rPr>
        <w:t>E. 6</w:t>
      </w:r>
    </w:p>
    <w:p>
      <w:r>
        <w:t>En conclusion, l’appel est partiellement admis et le ch. I du prononcé réformé dans le sens des considérants qui précèdent. Vu le sort de l’appel, les frais judiciaires de deuxième instance, arrêtés à 2'500 fr. (art. 65 al. 2 et 3 TFJC [tarif des frais judicaires civils du 28 septembre 2010 ; RSV 270.11.5), sont mis à la charge de l’appelant à raison de 1'875 fr. et de l’intimée à raison de 625 fr. (art. 106 al. 3 CPC). L’intimée versera à l’appelant la somme de 625 fr. à titre de restitution partielle d’avance de frais de deuxième instance (art. 111 al. 2 CPC). Compte tenu de l’adjudication respective des conclusions des parties, l’appelant versera à l’intimée des dépens réduits de deuxième instance (art. 106 al. 2 CPC), fixés d’office (art. 105 al. CPC), conformément au tarif des dépens en matière civile du 23 novembre 2010  (TDC ; RSV 270.11.66). En règle générale, la partie qui succombe est tenue de rembourser à la partie qui a obtenu gain de cause tous les frais nécessaires causés par le litige (art. 3 a.2 TDC). En l’espèce, il se justifie de fixer les dépens dus à l’intimée, qui n’a pas produit de liste de frais (art. 105 al. 2 CPC), à 2'400 fr. (art. 7 TDC). Par ces motifs, la juge déléguée de la Cour d’appel civile du Tribunal cantonal, statuant à huis clos, prononce : I. L’appel d’A.J.________ est partiellement admis. II . Le prononcé est réformé comme suit au chiffre I de son dispositif : I.               dit qu’A.J.________ contribuera à l’entretien des siens par le régulier versement, d’avance le premier de chaque mois, en mains d’O.________, d’une contribution mensuelle de fr. 12'700.- (douze mille sept cents francs), allocations familiales non comprises et dues en sus, dès le 1 er janvier 2013. Il est confirmé pour le surplus. III. Les frais judiciaires de deuxième instance, arrêtés à 2'500 fr. (deux mille cinq cents francs), sont mis à la charge d’A.J.________ à raison de 1'875 fr. (mille huit cent septante-cinq francs), et d’O.________, à raison de 625 fr. (six cent vingt cinq francs). IV. O.________, versera à A.J.________ la somme de 625 fr. (six cents vingt-cinq francs), à titre de restitution partielle d’avance de frais de deuxième instance. V. A.J.________ versera à O.________, la somme de 2'400 fr. (deux mille quatre cents francs) à titre de dépens de deuxième instance. VI. L’arrêt motivé est exécutoire. La juge déléguée : Le greffier : Du 19 juin 2013 Le dispositif de l'arrêt qui précède est communiqué par écrit aux intéressés. Le greffier : Du L'arrêt qui précède, dont la rédaction a été approuvée à huis clos, est notifié en expédition complète, par l'envoi de photocopies à : ‑ Mme Violaine Jaccottet Sherif (pour A.J.________), ‑ Me Malek Buffat Reymond (pour O.________).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