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435 vom 17. Juli 2013</w:t>
      </w:r>
    </w:p>
    <w:p>
      <w:r>
        <w:t>VD Tribunal cantonal, 2013-07-17, FR</w:t>
      </w:r>
    </w:p>
    <w:p>
      <w:r>
        <w:rPr>
          <w:b/>
        </w:rPr>
        <w:t xml:space="preserve">Quelle: </w:t>
      </w:r>
      <w:r>
        <w:t>https://mcp.opencaselaw.ch/entscheid/vd_findinfo_HC___2013___435</w:t>
      </w:r>
    </w:p>
    <w:p>
      <w:r>
        <w:t>FR: VD_FINDINFO HC / 2013 / 435 du 17 juillet 2013</w:t>
      </w:r>
    </w:p>
    <w:p>
      <w:r>
        <w:t>IT: VD_FINDINFO HC / 2013 / 435 del 17 luglio 2013</w:t>
      </w:r>
    </w:p>
    <w:p>
      <w:pPr>
        <w:pStyle w:val="Heading2"/>
      </w:pPr>
      <w:r>
        <w:t>Regeste</w:t>
      </w:r>
    </w:p>
    <w:p>
      <w:r>
        <w:t>MESURE DE CONTRAINTE{DROIT DES ÉTRANGERS}, DÉTENTION AUX FINS D'EXPULSION, PROPORTIONNALITÉ, MOTIF DE DÉTENTION | 76 al. 1 let. b ch. 3 LEtr, 76 al. 1 let. b ch. 4 LEtr, 76 al. 1 let. b LEtr, 76 al. 1 LEtr, 79 LEtr, 30 al. 2 LVLEtr, 31 al. 1 LVLEtr, 31 al. 2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LOJV [loi d'organisation judiciaire du 12 décembre 1979; RSV 173.01] et art. 18 al. 3 let. c ROTC [règlement organique du Tribunal cantonal du 13 novembre 2007; RSV 173.31.1]). Déposé en temps utile par le recourant, qui y a un intérêt, le recours est recevable à la forme (art. 30 al. 2 LVLEtr).</w:t>
      </w:r>
    </w:p>
    <w:p>
      <w:r>
        <w:rPr>
          <w:b/>
        </w:rPr>
        <w:t>E. 2</w:t>
      </w:r>
    </w:p>
    <w:p>
      <w:r>
        <w:t>Le Juge de paix du district de Lausanne est l'autorité compétente en vertu des art. 17 et 20 LVLEtr. Saisie d'une réquisition du SPOP du 11 juin 2013, le premier juge a procédé à l'audition du recourant le même jour. Les déclarations du recourant ont été résumées au procès‑verbal dans ce qu'elles avaient d'utile (art. 21 al. 1 et 2 LVLEtr). A l'issue de l'audition, le Juge de paix a immédiatement rendu un ordre de détention et sa décision motivée a été notifiée le 13 juin 2013 au recourant, soit dans le délai légal de nonante-six heures prescrit par l'art. 80 al. 2 LEtr. Le recourant a été informé de son droit de demander la désignation d'un conseil d'office (art. 24 al. 2 LVLEtr). Un conseil d'office lui a été désigné. La procédure a ainsi été régulière, le droit d'être entendu du recourant ayant été respecté.</w:t>
      </w:r>
    </w:p>
    <w:p>
      <w:r>
        <w:rPr>
          <w:b/>
        </w:rPr>
        <w:t>E. 3</w:t>
      </w:r>
    </w:p>
    <w:p>
      <w:r>
        <w:t>La Chambre des recours civile revoit librement la décision de première instance; elle établit les faits d'office et peut ordonner à cet effet toutes les mesures d'instruction qu'elle juge utiles (art. 31 al. 1 et al. 2 LVLEtr). Elle peut en particulier tenir compte des faits postérieurs à la décision attaquée. Procédant à une appréciation anticipée des preuves, la cour de céans considère qu'il n'y a pas lieu de donner suite à la réquisition en production du dossier du recourant par l'ODM, compte tenu de ce qui va suivre.</w:t>
      </w:r>
    </w:p>
    <w:p>
      <w:r>
        <w:rPr>
          <w:b/>
        </w:rPr>
        <w:t>E. 4</w:t>
      </w:r>
    </w:p>
    <w:p>
      <w:r>
        <w:t>Le recourant fait valoir que sa détention serait illicite car l’autorité cantonale devait prononcer une nouvelle mesure de renvoi, dès lors que la précédente mesure de renvoi avait été exécutée. En l’espèce, le recourant est revenu en Suisse le 20 janvier 2013, soit moins de six après que l’ODM a refusé d’entrer en matière sur sa demande d’asile et prononcé son renvoi de Suisse en Italie. Une nouvelle mesure de renvoi n’était dès lors pas nécessaire et la détention du recourant est licite de ce point de vue.</w:t>
      </w:r>
    </w:p>
    <w:p>
      <w:r>
        <w:rPr>
          <w:b/>
        </w:rPr>
        <w:t>E. 5</w:t>
      </w:r>
    </w:p>
    <w:p>
      <w:r>
        <w:t>Le recourant considère ensuite que les conditions de sa détention ne sont pas remplies. 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ATF 130 Il 56 c. 3.1; ATF 125 II 369 c. 3b/aa; ATF 122 Il 49, rés. in JT 1998 I 95). b) En l’espèce, le recourant a systématiquement déclaré aux autorités qu’il refusait de retourner en ltalie. Il est revenu en Suisse après l’exécution de son renvoi vers ce pays et a refusé d’embarquer dans l’avion qui avait été prévu à cet effet. On est au-delà de la simple supposition qui, effectivement, ne suffit pas à justifier la détention administrative (ATF 129 I 139). Il faut au contraire admettre que par ses déclarations et son comportement, le recourant a clairement laissé entendre qu’il se soustrairait à une mesure d’exécution (ATF 130 lI 56). Mal fondé, ce grief doit ainsi être rejeté.</w:t>
      </w:r>
    </w:p>
    <w:p>
      <w:r>
        <w:rPr>
          <w:b/>
        </w:rPr>
        <w:t>E. 6</w:t>
      </w:r>
    </w:p>
    <w:p>
      <w:r>
        <w:t>Le recourant considère enfin que son renvoi est illicite car il serait contraire aux engagements de la Suisse relevant du droit international. En l'occurrence, cet argument se heurte à la décision de I’ODM du 5 septembre 2012, entrée en force le 14 septembre 2012. D'ailleurs, le recourant se trompe lorsqu'il soutient que son renvoi aurait pour destination son pays d'origine. Il est bien plutôt prévu vers l'Italie, pays compétent pour mener sa procédure d'asile en vertu du Règlement de Dublin.</w:t>
      </w:r>
    </w:p>
    <w:p>
      <w:r>
        <w:rPr>
          <w:b/>
        </w:rPr>
        <w:t>E. 7</w:t>
      </w:r>
    </w:p>
    <w:p>
      <w:r>
        <w:t>Enfin, il faut relever que la mesure contestée respecte le principe de proportionnalité, dès lors que le refoulement du recourant pourra manifestement être exécuté avant l’échéance du délai maximal de 18 mois prévu par la loi et que ce n’est, selon le Tribunal fédéral, que lorsque des raisons sérieuses laissent penser que la mesure d’éloignement ne pourra certainement pas intervenir avant la fin du délai légal qu’une détention est inadmissible sous l’angle de la proportionnalité (TF 2A_549/2003 du 3 décembre 2003).</w:t>
      </w:r>
    </w:p>
    <w:p>
      <w:r>
        <w:rPr>
          <w:b/>
        </w:rPr>
        <w:t>E. 8</w:t>
      </w:r>
    </w:p>
    <w:p>
      <w:r>
        <w:t>Le recours doit ainsi être rejeté et l'ordonnance confirmée. L'arrêt peut être rendu sans frais.</w:t>
      </w:r>
    </w:p>
    <w:p>
      <w:r>
        <w:rPr>
          <w:b/>
        </w:rPr>
        <w:t>E. 9</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l'avocat Thierry de Mestral a produit le 2 juillet 2013 une liste des opérations annonçant 8h10 de travail et 30 fr. 40 de débours. Cette liste peut être admise, sous réserve d'un petit arrondissement vers le bas, de sorte qu'il y a lieu de fixer l'indemnité d'office de Me Thierry de Mestral à 1'587 fr. 60 correspondant à 8h de travail à 180 fr. de l'heure, plus 30 fr. de débours et 117 fr. 60 de TVA. Par ces motifs, la Chambre des recours civile du Tribunal cantonal, statuant à huis clos, prononce : I. Le recours est rejeté. II. L’ordonnance est confirmée. III. L’indemnité d’office de Me Thierry de Mestral, conseil d’office du recourant, est arrêtée à 1'587 fr. 60 (mille cinq cent huitante-sept francs et soixante centimes). IV. L’arrêt est rendu sans frais. V. L’arrêt motivé est exécutoire. Le président :               La greffière : Du 17 juillet 2013 Le dispositif de l'arrêt qui précède est communiqué par écrit aux intéressés. La greffière : Du L'arrêt qui précède, dont la rédaction a été approuvée à huis clos, est notifié en expédition complète, par l'envoi de photocopies, à : ‑ Me Thierry de Mestral (pour A.________),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