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432 vom 21. Juni 2013</w:t>
      </w:r>
    </w:p>
    <w:p>
      <w:r>
        <w:t>VD Tribunal cantonal, 2013-06-21, FR</w:t>
      </w:r>
    </w:p>
    <w:p>
      <w:r>
        <w:rPr>
          <w:b/>
        </w:rPr>
        <w:t xml:space="preserve">Quelle: </w:t>
      </w:r>
      <w:r>
        <w:t>https://mcp.opencaselaw.ch/entscheid/vd_findinfo_HC___2013___432</w:t>
      </w:r>
    </w:p>
    <w:p>
      <w:r>
        <w:t>FR: VD_FINDINFO HC / 2013 / 432 du 21 juin 2013</w:t>
      </w:r>
    </w:p>
    <w:p>
      <w:r>
        <w:t>IT: VD_FINDINFO HC / 2013 / 432 del 21 giugno 2013</w:t>
      </w:r>
    </w:p>
    <w:p>
      <w:pPr>
        <w:pStyle w:val="Heading2"/>
      </w:pPr>
      <w:r>
        <w:t>Regeste</w:t>
      </w:r>
    </w:p>
    <w:p>
      <w:r>
        <w:t>INDEMNITÉ{EN GÉNÉRAL}, ASSISTANCE JUDICIAIRE | 122 al. 1 let. a CPC (CH)</w:t>
      </w:r>
    </w:p>
    <w:p>
      <w:pPr>
        <w:pStyle w:val="Heading2"/>
      </w:pPr>
      <w:r>
        <w:t>Erwägungen</w:t>
      </w:r>
    </w:p>
    <w:p>
      <w:r>
        <w:rPr>
          <w:b/>
        </w:rPr>
        <w:t>E. 1</w:t>
      </w:r>
    </w:p>
    <w:p>
      <w:r>
        <w:t>L’article 110 CPC ouvre la voie du recours séparé de l’art. 319 let. b ch. 1 CPC contre les décisions fixant l’indemnité du conseil d’office, cette indemnité étant considérée comme des frais au sens de l’art. 95 CPC (CREC 13 février 2013/52 ; Tappy, CPC commenté, Bâle 2011, n. 21 ad art. 122 CPC).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Dès lors, le recours s'exerce dans les dix jours (art. 321 al. 2 CPC) lorsqu'il est dirigé contre une décision dont l'objet se borne à la fixation d'une indemnité d'avocat d'office. Lorsque, comme en l'espèce, cette décision est incluse dans une décision finale, dont elle ne constitue que l'un des éléments, le délai de recours est de trente jours (Tappy, op. cit., n. 10 ad art. 110 CPC, CREC 21 mai 2012/181, consid. 1). L'avocat d'office a qualité pour recourir contre la décision fixant son indemnité (Tappy, op. cit., n. 21 ad art. 110 CPC). Formé en temps utile par une partie qui y a un intérêt digne de protection (art. 59 al.</w:t>
      </w:r>
    </w:p>
    <w:p>
      <w:r>
        <w:rPr>
          <w:b/>
        </w:rPr>
        <w:t>E. 1.1</w:t>
      </w:r>
    </w:p>
    <w:p>
      <w:r>
        <w:t>heure, soit 1h05, doit être indemnisé à raison de deux fois 120 fr. conformément à la jurisprudence. Compte tenu de ce qui précède, il convient de déduire de la liste des opérations un temps de 9.5 heures, soit 9h30, ce qui donne ainsi 24.6 heures (34.10 – 9.5), soit 24h36. S’ajoute à cela un montant de 240 fr. (2 x 120 francs) pour les frais de déplacements. Cela correspond à une indemnité de 4'668 fr., plus 373 fr. 45 de TVA, soit un total de 5'041 fr. 45. 4. La recourante conteste le montant alloué par le premier juge à titre de débours. 4.1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précité c. 4b). 4.2 Dans le cas d’espèce, le premier juge a alloué à la recourante un montant de 100 fr., TVA en sus, à titre de débours, s’écartant ainsi du montant de 146 fr. 40 qui figure sur la liste des opérations produite sans motiver sa position. La recourante, qui a justifié ses débours, doit être remboursée en conséquence, aucun poste ne paraissant surévalué ou injustifié. On déduira toutefois un montant de 16 fr. qui correspond à des dépenses ayant trait à la procédure tutélaire (7 fr., pour les opérations effectuées le 3 août 2011 + 2 fr. pour celles effectuées le 12 août 2011 + 7 fr. pour les opérations effectuées le 5 septembre 2011). Les débours seront donc fixé à 130 fr. 40 (146 fr. 40 – 16 francs). En conclusion, la recourante a droit à une indemnité de 4'428 fr (24.6 x 180), à laquelle s’ajoute 240 fr. au titre d’indemnités de déplacement (2x 120 francs) et des débours par 130 fr. 40. En tenant compte de la TVA, l’indemnité de la recourante doit être fixée à 5'182 fr. 25 (4'798 fr. 40 + 383 fr 85). 5. Le dispositif du présent arrêt mentionne à tort un montant de 5'162 fr. 85 à titre d’indemnité. Ce montant résulte d’une erreur manifeste de calcul ([24.6 x 180 + 240 + 130 fr. 40] + 8% = 5'182 fr. 25 et non 5'162 fr. 85) et doit être rectifié d’office (art. 334 al. 1 CPC). 6. En définitive, le recours doit être partiellement admis et la décision réformée dans le sens des considérants qui précèdent. Les frais judiciaires de deuxième instance sont arrêtés à 200 fr., (art. 69 al. 3 TFJC [tarif des frais judiciaires civils du 28 septembre 2010; RSV 270.11.5). La recourante n’obtenant pas entièrement gain de cause, ils seront mis par moitié à sa charge, l’autre moitié étant laissée à la charge de l’Etat (art. 106 al. 2 et 107 al. 2 CPC). Me V.________ ayant agi dans sa propre cause (cf. art. 95 al. 3 let. c CPC, a contrario), il n'y a pas lieu à l'allocation de dépens. Par ces motifs, la Chambre des recours du Tribunal cantonal, statuant à huis clos, prononce : I. Le recours est partiellement admis. II. Le prononcé est réformé au chiffre V de son dispositif comme il suit : V. fixe l’indemnité de l’avocate V.________, conseil d’office de la demanderesse à 5'182 fr. 25 (cinq mille cent huitante-deux francs et vingt-cinq centimes), débours et TVA inclus. Le prononcé est confirmé pour le surplus. III. Les frais judiciaires de deuxième instance, arrêtés à 200 fr. (deux cents francs), sont mis par moitié à la charge de la recourante, le solde étant laissé à la charge de l’Etat. IV. L’arrêt motivé est exécutoire. Le président :               La greffière : Du 21 juin 2013 Le dispositif de l'arrêt qui précède est communiqué par écrit aux intéressés. La greffière : Du L'arrêt qui précède, dont la rédaction a été approuvée à huis clos, est notifié en expédition complète, par l'envoi de photocopies, à : ‑ Me V.________, ‑ Mme A.K.________. La Chambre des recours considère que la valeur litigieuse est de 6'878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heures pour la rédaction d’un mémoire de recours ; le 5 septembre 2011, la recourante a mentionné avoir consacré 0.60 heure, soit 36 minutes, à l’étude des pièces, la correction et finalisation du mémoire de recours, la confection du bordereau, l’envoi en recommandé au Tribunal cantonal, avec copie à sa cliente et à la partie adverse, retenant</w:t>
      </w:r>
    </w:p>
    <w:p>
      <w:r>
        <w:rPr>
          <w:b/>
        </w:rPr>
        <w:t>E. 3.1</w:t>
      </w:r>
    </w:p>
    <w:p>
      <w:r>
        <w:t>Aux termes de l’art. 122 al. 1 let. a CPC, le conseil juridique commis d’office est rémunéré équitablement par le canton.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Ia 22 c. 4a ; TF 6B_745/2009 du 12 novembre 2009 c. 10.1 ; Tappy, op. cit., n. 8 ad art. 122 CPC, p. 500).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117 Ia précité c. 3a ; ATF 109 Ia 107 c. 3b ; TF 6B_273/2009 du 2 juillet 2009 c. 2.1 ; TF 6B_102/2009 du 14 avril 2009 c. 2 ; TF 6B_960/2008 du 22 janvier 2009 c. 1.1 ; TF 6B_947/2008 du 16 janvier 2009 c. 2).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Le législateur a ainsi renoncé à imposer le principe d'une pleine indemnisation, de sorte que les principes arrêtés dans la jurisprudence (ATF 132 I 201) gardent toute leur validité dans le cadre de l'art. 122 CPC. Le temps consacré au déplacement du conseil d’office en matière civile n’est pas assimilable à toute autre prestation dans le cadre du mandat ; on peut appliquer, pour l’indemnisation de tels déplacements, la règle prévalant en matière pénale, où le Ministère public alloue en accord avec l’OAV un montant forfaitaire de 120 fr. aux avocats brevetés et de 80 fr. aux avocats stagiaires (JT 2013 III 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 ATF 117 Ia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(TF 5P_462/2002 du 30 janvier 2003 ; Pdt TC 23 juillet 2001/37). L’avocat doit toutefois bénéficier d’une marge d’appréciation suffisante pour déterminer l’importance du travail qu’exige l’affaire.</w:t>
      </w:r>
    </w:p>
    <w:p>
      <w:r>
        <w:rPr>
          <w:b/>
        </w:rPr>
        <w:t>E. 3.2</w:t>
      </w:r>
    </w:p>
    <w:p>
      <w:r>
        <w:t>En l’occurrence, le premier juge n’a pas méconnu le caractère conflictuel de la procédure. Il a toutefois considéré que le temps annoncé par la recourante paraissait quelque peu excessif et devait être réduit, notamment eu égard au temps consacré à l’envoi de courrier en copie, très souvent largement compté. Il a considéré que la mission de la recourante ne devait pas excéder 20 heures en relevant que plusieurs opérations concernant de simples transmissions de courriers en copie avaient été trop largement comptées (prononcé p. 7). L’examen de la liste des opérations fondant la demande d’indemnité permet de constater que les explications de la recourante sont fondées. En effet, on remarque que les opérations effectuées le 12 mai 2011 ont consisté en la rédaction et l’envoi d’une lettre au Tribunal et à la cliente, ainsi qu’en la transmission d’une copie de celle-ci à la partie adverse. La durée indiquée, soit 0.4 heure – correspondant à vingt minutes - concerne l’ensemble de ces opérations. Il s’ensuit que le constat du premier juge est erroné lorsqu’il retient que plusieurs opérations concernant de simples transmissions de courriers avaient été trop largement comptées. Il n’apparaît par ailleurs pas que le temps consacré à ce mandat ait été excessif. Cela étant, un examen attentif de la liste des opérations amène la Cour de céans à constater que plusieurs opérations sont étrangères au mandat d’office de la recourante. On voit ainsi que le 3 août 2011, cette dernière a indiqué avoir envoyé un courrier recommandé au Tribunal cantonal avec copie à sa cliente et à la partie adverse, retenant 7 fr. (5 fr. + 1 fr. + 1 fr.) à titre de débours pour ces opérations ; le lendemain, elle a mentionné avoir consacré deux fois 0.20 heure, soit 2 x 12 minutes, à la rédaction et l’envoi de deux courriels à sa cliente et avoir consacré 0.30 heure, soit 18 minutes, à l’étude de pièces ; le 10 août 2011, elle a compté 2 heures pour une vacation, la consultation et la photocopie du dossier au Tribunal cantonal ; le lendemain, elle a indiqué avoir consacré 0.30 heure, soit 18 minutes, à l’envoi d’un courriel à sa cliente ; le 12 août 2011, elle a consacré 0.20 heure, soit 12 minutes, à un téléphone avec sa cliente, retenant 2 fr. à titre de débours ; le 15 août 2011, elle a consacré 0.20 heure, soit 12 minutes, à l’étude de pièces ; le 29 août 2011, elle a compté</w:t>
      </w:r>
    </w:p>
    <w:p>
      <w:r>
        <w:rPr>
          <w:b/>
        </w:rPr>
        <w:t>E. 7</w:t>
      </w:r>
    </w:p>
    <w:p>
      <w:r>
        <w:t>fr. à titre de débours (5 fr. + 1 fr. + 1 fr.) ; enfin le 13 décembre 2011, elle a indiqué avoir consacré 0.30 heure, soit 18 minutes, à l’étude de l’arrêt de la Chambre des tutelles ainsi que 0.50 heure, soit 30 minutes, à l’envoi d’un courriel à sa cliente et d’un courrier à la partie adverse. Toutes ces opérations ne sont pas en relation avec l’action alimentaire, qui n’a jamais fait l’objet d’un recours. La recourante a manifestement mélangé des opérations ayant trait pour une part à l’action alimentaire et pour une autre part à l’enquête en retrait de l’autorité parentale de sa cliente qui a effectivement fait l’objet d’un arrêt de la Chambre des tutelles, dont il ressort qu’elle était le conseil de choix de sa cliente (CTUT du 23 septembre 2011). On relève également qu’en date du 17 juin 2011, la recourante a compté 1.20 heure, soit 1h12, pour une vacation à l’audience de conciliation et l’assistance de sa cliente, alors que le 21 septembre 2011, elle a mentionné 1.50 heure, soit 1h30, pour une vacation au Tribunal d’arrondissement et l’assistance de sa cliente à l’audience de premières plaidoiries. En l’absence d’indication, on peut estimer l’audience de conciliation à 20 minutes, ce qui donne - suivant la méthode de calcul opérée par la recourante - un temps de 0.4 heure. Quant à l’audience de premières plaidoiries qu s’est tenue le 21 septembre 2011, elle a duré moins d’une demi-heure, ce qui donne également un chiffre de 0.4 heure. Le solde du temps consacré à ces deux audiences, respectivement 0.8 heure, soit 48 minutes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