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43 vom 23. Januar 2013</w:t>
      </w:r>
    </w:p>
    <w:p>
      <w:r>
        <w:t>VD Tribunal cantonal, 2013-01-23, FR</w:t>
      </w:r>
    </w:p>
    <w:p>
      <w:r>
        <w:rPr>
          <w:b/>
        </w:rPr>
        <w:t xml:space="preserve">Quelle: </w:t>
      </w:r>
      <w:r>
        <w:t>https://mcp.opencaselaw.ch/entscheid/vd_findinfo_HC___2013___43</w:t>
      </w:r>
    </w:p>
    <w:p>
      <w:r>
        <w:t>FR: VD_FINDINFO HC / 2013 / 43 du 23 janvier 2013</w:t>
      </w:r>
    </w:p>
    <w:p>
      <w:r>
        <w:t>IT: VD_FINDINFO HC / 2013 / 43 del 23 gennaio 2013</w:t>
      </w:r>
    </w:p>
    <w:p>
      <w:pPr>
        <w:pStyle w:val="Heading2"/>
      </w:pPr>
      <w:r>
        <w:t>Regeste</w:t>
      </w:r>
    </w:p>
    <w:p>
      <w:r>
        <w:t>DÉTENTION AUX FINS D'EXPULSION, REJET DE LA DEMANDE | 76 al. 1 let. b ch. 3 LEtr, 76 al. 1 let. b ch. 4 LEtr</w:t>
      </w:r>
    </w:p>
    <w:p>
      <w:pPr>
        <w:pStyle w:val="Heading2"/>
      </w:pPr>
      <w:r>
        <w:t>Erwägungen</w:t>
      </w:r>
    </w:p>
    <w:p>
      <w:r>
        <w:rPr>
          <w:b/>
        </w:rPr>
        <w:t>E. 1</w:t>
      </w:r>
    </w:p>
    <w:p>
      <w:r>
        <w:t>Le recours au Tribunal cantonal est ouvert contre la décision du juge de paix ordonnant la détention administrative (art. 80 al. 1 LEtr; art. 30 al. 1 LVLEtr [loi d'application dans le Canton de Vaud de la législation fédérale sur les étrangers du 18 décembre 2007, RSV 142.11).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le 31 décembre 2012, soit en temps utile, par le recourant, qui y a un intérêt, le recours est recevable à la forme.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Le Juge de paix du district de Lausanne est l'autorité compétente en vertu des art. 17 et 20 LVLEtr. Saisie d'une réquisition du SPOP du 19 décembre 2012, la première juge a procédé à l'audition du recourant le lendemain en présence d'un représentant du SPOP et d'un interprète. Les déclarations du recourant ont été résumées au procès-verbal dans ce qu'elles avaient d'utiles (art. 21 al. 1 et 2 LVLEtr). La Juge de paix a immédiatement rendu un ordre de détention, puis le même jour encore sa décision motivée, soit dans les nonante-six heures prescrites par l'art. 80 al. 2 LEtr. La procédure suivie a ainsi été régulière, le droit d'être entendu du recourant ayant été respecté.</w:t>
      </w:r>
    </w:p>
    <w:p>
      <w:r>
        <w:rPr>
          <w:b/>
        </w:rPr>
        <w:t>E. 3</w:t>
      </w:r>
    </w:p>
    <w:p>
      <w:r>
        <w:t>a) Le recourant fait valoir que la décision rendue le 16 novembre 2011 par l'ODM ne lui a pas été valablement notifiée, dès lors qu’elle est rédigée en français, soit dans une langue qu'il ne comprend pas. b) La décision à laquelle s'en prend le recourant est définitive et exécutoire. Communiquée par pli recommandé avec avis de réception à l’Abri "En Perreret", à Gland, elle est entrée en force le 30 novembre 2011. Il appartenait au recourant de faire valoir l'argument tiré d'une irrégularité de notification dans le cadre d'un recours dirigé contre cette décision, ce qu'il n'a pas fait. On relèvera au demeurant que le règlement cité par le recourant, à savoir le Règlement (CE) no 343/2003 du Conseil du 18 février 2003 (JO L 50 du 25 février 2003, pp. 1 ss), concerne les critères et mécanismes de détermination de l'Etat membre responsable de l'examen d'une demande d’asile présentée dans l’un des Etats membres par un ressortissant d’un pays tiers et non pas la langue de procédure, qui est réglée par l’art. 33a PA (loi fédérale sur la procédure administrative du 20 décembre 1968, RS 172.021), au terme duquel la procédure est conduite dans l’une des quatre langues officielles; en règle générale, il s’agit de la langue dans laquelle les parties ont déposé ou déposeraient leurs conclusions.</w:t>
      </w:r>
    </w:p>
    <w:p>
      <w:r>
        <w:rPr>
          <w:b/>
        </w:rPr>
        <w:t>E. 4</w:t>
      </w:r>
    </w:p>
    <w:p>
      <w:r>
        <w:t>a) Le recourant fait encore valoir qu’il devrait être refoulé vers l’Espagne et non pas vers l’Italie. b) Il s’agit là encore d’un argument qui aurait dû être soulevé dans le cadre d’un recours dirigé contre la décision rendue par l'ODM le 16 novembre 2011, aujourd’hui entrée en force, laquelle prononçait le renvoi de l’intéressé de la Suisse vers l’Italie. Cela étant, le recourant se contente, à l’appui de son argumentation, de faire état d’un séjour illégal en Espagne, ce qui ne suffit bien évidemment pas à justifier un renvoi dans ce pays (cf. art. 69 al. 2 LEtr).</w:t>
      </w:r>
    </w:p>
    <w:p>
      <w:r>
        <w:rPr>
          <w:b/>
        </w:rPr>
        <w:t>E. 5</w:t>
      </w:r>
    </w:p>
    <w:p>
      <w:r>
        <w:t>Pour le surplus, la première juge a correctement apprécié les conditions légales justifiant la mise en détention du recourant (cf. art. 76 al. 1 let. b ch. 3 et 4 LEtr) et on ne décèle aucune raison sérieuse qui laisserait penser que la mesure d’éloignement ne pourra pas intervenir avant l’échéance maximale de détention de dix-huit mois prévue par la loi. Un vol spécial est d’ailleurs en cours d’organisation.</w:t>
      </w:r>
    </w:p>
    <w:p>
      <w:r>
        <w:rPr>
          <w:b/>
        </w:rPr>
        <w:t>E. 6</w:t>
      </w:r>
    </w:p>
    <w:p>
      <w:r>
        <w:t>a) En définitive, le recours doit être rejeté et l’ordonnance confirmée. L’arrêt peut être rendu sans frais. b) Le conseil d’office du recourant a déposé, le 31 décembre 2012, une liste des opérations, dont il ressort qu’elle a consacré quatre heures à la procédure de recours, ce qui peut être admis vu l’ampleur de la cause et le travail accompli. Compte tenu d’un tarif horaire de 180 fr., l’indemnité doit donc être fixée à 720 fr., à laquelle il y a lieu d'ajouter les débours par 24 fr. et la TVA sur le tout par 59 fr. 50, soit un total arrondi à 805 francs. Par ces motifs, la Chambre des recours civile du Tribunal cantonal, statuant à huis clos, prononce : I. Le recours est rejeté. II. L'ordonnance est confirmée. III. L'indemnité d'office de Me Amandine Torrent est arrêtée à 805 fr. (huit cent cinq francs), TVA et débours compris. IV. L'arrêt, rendu sans frais, est exécutoire. Le président :               La greffière : Du 23 janvier 2013 Le dispositif de l'arrêt qui précède est communiqué par écrit aux intéressés. La greffière : Du L'arrêt qui précède, dont la rédaction a été approuvée à huis clos, est notifié en expédition complète, par l'envoi de photocopies, à : ‑ Me Amandine Torrent (pour M.________),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