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 vom 18. Januar 2013</w:t>
      </w:r>
    </w:p>
    <w:p>
      <w:r>
        <w:t>VD Tribunal cantonal, 2013-01-18, FR</w:t>
      </w:r>
    </w:p>
    <w:p>
      <w:r>
        <w:rPr>
          <w:b/>
        </w:rPr>
        <w:t xml:space="preserve">Quelle: </w:t>
      </w:r>
      <w:r>
        <w:t>https://mcp.opencaselaw.ch/entscheid/vd_findinfo_HC___2013___42</w:t>
      </w:r>
    </w:p>
    <w:p>
      <w:r>
        <w:t>FR: VD_FINDINFO HC / 2013 / 42 du 18 janvier 2013</w:t>
      </w:r>
    </w:p>
    <w:p>
      <w:r>
        <w:t>IT: VD_FINDINFO HC / 2013 / 42 del 18 gennaio 2013</w:t>
      </w:r>
    </w:p>
    <w:p>
      <w:pPr>
        <w:pStyle w:val="Heading2"/>
      </w:pPr>
      <w:r>
        <w:t>Regeste</w:t>
      </w:r>
    </w:p>
    <w:p>
      <w:r>
        <w:t>ADMINISTRATION D'OFFICE DE LA SUCCESSION, EXÉCUTEUR TESTAMENTAIRE, JURIDICTION GRACIEUSE | 554 al. 2 CC, 554 CC, 321 CPC (CH), 109 al. 3 CDPJ</w:t>
      </w:r>
    </w:p>
    <w:p>
      <w:pPr>
        <w:pStyle w:val="Heading2"/>
      </w:pPr>
      <w:r>
        <w:t>Erwägungen</w:t>
      </w:r>
    </w:p>
    <w:p>
      <w:r>
        <w:rPr>
          <w:b/>
        </w:rPr>
        <w:t>E. 1</w:t>
      </w:r>
    </w:p>
    <w:p>
      <w:r>
        <w:t>LOJV [loi vaudoise d'organisation judiciaire du 12 décembre 1979; RSV 173.01]). En l'espèce, le recours a été formé en temps utile par une partie qui y a un intérêt digne de protection, de sorte qu'il est recevable. En effet, tant les héritiers, pour l'un d'entre eux représenté par son curateur, que l'exécuteur testamentaire ont un intérêt juridique à recourir en matière d'administration d'office de la succession.</w:t>
      </w:r>
    </w:p>
    <w:p>
      <w:r>
        <w:rPr>
          <w:b/>
        </w:rPr>
        <w:t>E. 2</w:t>
      </w:r>
    </w:p>
    <w:p>
      <w:r>
        <w:t>a) Le recours est recevable pour violation du droit et constatation manifestement inexacte des faits (art. 320 CPC). b) L'autorité de recours dispose d'un plein pouvoir d'examen s'agissant de la violation du droit (Spühler, Basler Kommentar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En l'occurrence, les recourants ne contestent pas la décision d’ordonner une administration d’office de la succession, ni même le fait que l’exécuteur testamentaire L.________ n’a pas été désigné en qualité d’administrateur d’office, mais s’opposent à la désignation de l’avocat I.________ au motif qu’un exécuteur testamentaire de substitution en la personne du notaire R.________ est désigné dans le testament. Pour les recourants, ce choix permettrait de respecter la volonté du défunt, de privilégier une personne qui le connaissait et de nommer une personne d'une neutralité absolue. En effet, l’avocat désigné dans la décision attaquée serait une connaissance du mandataire de l’intimée. a) Aux termes de l'art. 554 al. 2 CC, s’il y a un exécuteur testamentaire, l’administration de l'hérédité lui est remise. La jurisprudence, avec l’appui d’une partie de la doctrine, reconnaît toutefois qu’il est possible de révoquer un exécuteur testamentaire lorsque cette charge crée un conflit d’intérêts en la personne du titulaire (ATF 98 II 168, JT 1973 I 251; ATF 90 lI 376, JT 1965 I 336). Cette opinion a été contestée par certains auteurs selon lesquels il faut opérer la distinction suivante. Lorsque la nomination de l’exécuteur testamentaire est contestée, l’autorité devrait avoir une certaine liberté d’appréciation et évaluer la situation. En revanche, lorsque la nomination de l’exécuteur n’est pas contestée, l’autorité n’a alors aucune raison de s’écarter de l’art. 554 al. 2 CC (Schuler-Buche, L’exécuteur testamentaire, l’administrateur officiel et le liquidateur officiel : étude et comparaison, thèse Lausanne 2003, p. 36 avec les références aux notes infrapagina 171 et 172). L’exécuteur testamentaire est la personne de confiance du testateur, si bien que sa révocation par l’autorité de surveillance ne doit intervenir qu’à titre d’ultima ratio. Ce n’est qu’en cas de violation particulièrement grave de ses devoirs, que l’on peut présumer que le testateur l’aurait également révoqué de ses fonctions (Karrer, Basler Kommentar, 2ème éd., 2003, n. 103 ad art. 518 CC, p. 332 avec les références). b) En l’espèce, si le choix de ne pas désigner comme administrateur d’office l’exécuteur testamentaire choisi à titre principal par le défunt n’est plus contesté par l’une ou l’autre des parties, l’autorité dispose encore de la possibilité de désigner l’exécuteur testamentaire de substitution prévu à l’art. 6 du testament notarié établi le 13 décembre 2011. Ce choix doit être privilégié pour respecter la volonté du défunt, l’art. 554 al. 2 CC prescrivant cette désignation, dès lors que personne ne conteste le choix de Me R.________, notaire qui a instrumenté le testament et qui connaissait par conséquent le défunt. Ainsi, contrairement à ce que soutient l’intimée, cette solution ne se justifie pas seulement en opportunité, mais résulte de l’application de la loi. A teneur du recours, il y a lieu de considérer en outre que L.________ a renoncé à son mandat d’exécuteur testamentaire. De toute manière, lorsqu’un administrateur officiel a été désigné, l’exécuteur testamentaire ne peut plus accomplir sa mission ou, du moins, il ne peut l’accomplir qu’avec l’autorisation de cet administrateur, aussi longtemps que ce dernier reste en fonction (ATF 42 Il 339, JT 1917 I 117). En définitive, le moyen des recourants est bien fondé et l'ordonnance entreprise doit donc être réformée dans le sens d'une nomination de Me R.________ en qualité d'administrateur d'office de la succession de feu Q.H.________.</w:t>
      </w:r>
    </w:p>
    <w:p>
      <w:r>
        <w:rPr>
          <w:b/>
        </w:rPr>
        <w:t>E. 4</w:t>
      </w:r>
    </w:p>
    <w:p>
      <w:r>
        <w:t>Au vu de ce qui précède, le recours doit être admis et la décision entreprise réformée dans le sens exposé ci-dessus. Vu le sort du recours, les frais judiciaires de deuxième instance, arrêtés à 300 fr. (art. 74 TFJC [tarif des frais judiciaires civils du 28 septembre 2010; RSV 270.11.5]), sont mis à la charge de l'intimée, A.H.________, qui succombe (art. 106 al. 1 CPC). Il n'y a pas lieu à l'allocation de dépens, les recourants ayant agi sans l'assistance d'un mandataire professionnel, les conditions de l'art. 95 al. 3 let.c CPC n'étant en outre pas réunies. Par ces motifs, la Chambre des recours civile du Tribunal cantonal, statuant à huis clos, prononce : I. Le recours est admis. II. L'ordonnance est modifiée comme suit au chiffre II de son dispositif: II.              Nomme en qualité d'administrateur d'office Me R.________, notaire à [...]. L'ordonnance est confirmée pour le surplus. III. Les frais judiciaires de deuxième instance, par 300 fr. (trois cents francs), sont mis à la charge de l'intimée. IV. L'intimée, A.H.________, doit verser aux recourants L.________, G.H.________, E.________ et O.________, solidairement entre eux, la somme de 300 fr. (trois cents francs), à titre de restitution d'avance de frais de deuxième instance. V. L'arrêt motivé est exécutoire. Le président :               La greffière : Du 21 janvier 2013 Le dispositif de l'arrêt qui précède est communiqué par écrit aux intéressés. La greffière : Du L'arrêt qui précède, dont la rédaction a été approuvée à huis clos, est notifié en expédition complète, par l'envoi de photocopies, à : ‑ M. L.________, ‑ M. G.H.________, - M. E.________, - Mme O.________, - M. I.________, - Me Cyril Piguet (pour A.H.________).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