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415 vom 24. Juni 2013</w:t>
      </w:r>
    </w:p>
    <w:p>
      <w:r>
        <w:t>VD Tribunal cantonal, 2013-06-24, FR</w:t>
      </w:r>
    </w:p>
    <w:p>
      <w:r>
        <w:rPr>
          <w:b/>
        </w:rPr>
        <w:t xml:space="preserve">Quelle: </w:t>
      </w:r>
      <w:r>
        <w:t>https://mcp.opencaselaw.ch/entscheid/vd_findinfo_HC___2013___415</w:t>
      </w:r>
    </w:p>
    <w:p>
      <w:r>
        <w:t>FR: VD_FINDINFO HC / 2013 / 415 du 24 juin 2013</w:t>
      </w:r>
    </w:p>
    <w:p>
      <w:r>
        <w:t>IT: VD_FINDINFO HC / 2013 / 415 del 24 giugno 2013</w:t>
      </w:r>
    </w:p>
    <w:p>
      <w:pPr>
        <w:pStyle w:val="Heading2"/>
      </w:pPr>
      <w:r>
        <w:t>Regeste</w:t>
      </w:r>
    </w:p>
    <w:p>
      <w:r>
        <w:t>MESURE PROVISIONNELLE, OBLIGATION D'ENTRETIEN, ENFANT | 133 al. 1 CC, 179 al. 1 CC, 277 al. 2 CC</w:t>
      </w:r>
    </w:p>
    <w:p>
      <w:pPr>
        <w:pStyle w:val="Heading2"/>
      </w:pPr>
      <w:r>
        <w:t>Erwägungen</w:t>
      </w:r>
    </w:p>
    <w:p>
      <w:r>
        <w:rPr>
          <w:b/>
        </w:rPr>
        <w:t>E. 6</w:t>
      </w:r>
    </w:p>
    <w:p>
      <w:r>
        <w:t>En conclusion, l’appel formé par M. H.________ doit être rejeté et l'ordonnance de première instance confirmée dans la mesure où elle rejette sa requête de mesures provisionnelles. L'appel de Mme H.________ doit être partiellement admis et le chiffre I du dispositif de l'ordonnance attaquée réformé en ce sens que M. H.________ contribuera à l'entretien de ses enfants A. H.________, B. H.________ et C. H.________ par le versement d'une contribution d'entretien de 3'300 francs. Les frais judiciaires de deuxième instance afférents à l'appel d'M. H.________, arrêtés à 600 fr. (art. 65 al. 2 TFJC (tarif des frais judiciaires civils du 28 septembre 2010; RSV 270.11.5), seront entièrement mis à la charge de l'appelant qui succombe (art. 106 al. 1 CPC) et compensés avec l'avance de frais effectuée par celui-ci (art. 111 al. 1 CPC). Au vu des conclusions prises dans son écriture, l'appelante Mme H.________ n'obtient que très partiellement gain de cause (elle concluait à une augmentation de 6'000 fr. et a obtenu une augmentation de 600 fr.); les frais judiciaires de première instance peuvent demeurer inchangés. Les frais judiciaires afférents à l'appel de Mme H.________, arrêtés à 600 fr., seront mis par 300 fr. à la charge de celle-ci et par 300 fr. à la charge d'M. H.________. S'agissant de l'appel d'M. H.________, il n'y a pas lieu à l'allocation de dépens à l'intimée qui n'a pas été invitée à déposer de réponse. Les dépens afférents à l'appel de Mme H.________ seront compensés (cf. art. 107 al. 1 let. c CPC). Par ces motifs, la juge déléguée de la Cour d’appel civile du Tribunal cantonal, statuant à huis clos, prononce : I. L’appel d'M. H.________ est rejeté. II. L'appel de Mme H.________ est partiellement admis. L'ordonnance est réformée comme il suit au chiffre II de son dispositif: 1a) Rejette la requête de mesures provisionnelles formée par M. H.________ le 21 juillet 2011. 1b) Admet partiellement la requête de mesures provisionnelles formée par Mme H.________ le 14 juin 2011 en ce sens qu'M. H.________ doit contribuer à l'entretien des ses enfants A. H.________, B. H.________ et C. H.________, par le versement d'avance le 1 er de chaque mois, en mains de Mme H.________, de la somme de 3'300 fr. (trois mille trois cents francs), dès le 1 er juillet 2011. L'ordonnance est confirmée pour le surplus. III. Les frais judiciaires de deuxième instance afférents à l'appel d'M. H.________, par 600 fr. (six cents francs), sont mis à la charge de celui-ci. IV. Les frais judiciaires de deuxième instance afférents à l'appel de Mme H.________, par 600 fr. (six cents francs) sont mis par moitié à la charge de chacune des parties. V. Les dépens de deuxième instance afférents à l'appel de Mme H.________ sont compensés. VI. L'arrêt est exécutoire. La juge déléguée : Le greffier : Du L'arrêt qui précède, dont la rédaction a été approuvée à huis clos, est notifié à : ‑ Me Violaine Jaccottet Sherif (pour M. H.________), ‑ Me Patricia Michellod (pour Mme H.________).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