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410 vom 28. Juni 2013</w:t>
      </w:r>
    </w:p>
    <w:p>
      <w:r>
        <w:t>VD Tribunal cantonal, 2013-06-28, FR</w:t>
      </w:r>
    </w:p>
    <w:p>
      <w:r>
        <w:rPr>
          <w:b/>
        </w:rPr>
        <w:t xml:space="preserve">Quelle: </w:t>
      </w:r>
      <w:r>
        <w:t>https://mcp.opencaselaw.ch/entscheid/vd_findinfo_HC___2013___410</w:t>
      </w:r>
    </w:p>
    <w:p>
      <w:r>
        <w:t>FR: VD_FINDINFO HC / 2013 / 410 du 28 juin 2013</w:t>
      </w:r>
    </w:p>
    <w:p>
      <w:r>
        <w:t>IT: VD_FINDINFO HC / 2013 / 410 del 28 giugno 2013</w:t>
      </w:r>
    </w:p>
    <w:p>
      <w:pPr>
        <w:pStyle w:val="Heading2"/>
      </w:pPr>
      <w:r>
        <w:t>Regeste</w:t>
      </w:r>
    </w:p>
    <w:p>
      <w:r>
        <w:t>MESURE PRÉPROVISIONNELLE, DÉCISION D'IRRECEVABILITÉ | 84 al. 2 LOJV, 265 CPC (CH), 308 al. 1 let. b CPC (CH), 314 al. 1 CPC (CH)</w:t>
      </w:r>
    </w:p>
    <w:p>
      <w:pPr>
        <w:pStyle w:val="Heading2"/>
      </w:pPr>
      <w:r>
        <w:t>Volltext</w:t>
      </w:r>
    </w:p>
    <w:p>
      <w:r>
        <w:t>Vaud Tribunal cantonal Cour d'appel civile 28.06.2013 HC / 2013 / 410</w:t>
      </w:r>
    </w:p>
    <w:p>
      <w:r>
        <w:t>MESURE PRÉPROVISIONNELLE, DÉCISION D'IRRECEVABILITÉ | 84 al. 2 LOJV, 265 CPC (CH), 308 al. 1 let. b CPC (CH), 314 al. 1 CPC (CH)</w:t>
      </w:r>
    </w:p>
    <w:p>
      <w:r>
        <w:t>TRIBUNAL CANTONAL JS13.016009-131330 341 JUGE DELEGUE DE LA cour d’appel CIVILE _________________________________________________________ Arrêt du 28 juin 2013 __________________ Présidence de               M. Colombini , président Greffier : Mme              Nantermod Bernard ***** Art. 265, 308 al. 1 let. b et 314 al. 1 CPC ; 84 al. 2 LOJV ; 11 TFJC Vu l’ordonnance de mesures superprovisionnelles de l’union conjugale rendue le 12 juin 2013 par le Président du Tribunal civil d’arrondissement de La Côte dans la cause divisant les époux J.________ , à Begnins, requérante, et W.________ , à Begnins, intimé, qui confie le droit de garde sur les enfants [...] et [...], nées le [...] 2013, au Service de protection de la jeunesse (ci-après SPJ), avec pour mission notamment de placer les enfants au mieux de leurs intérêts (I), déclare la présente ordonnance immédiatement exécutoire jusqu’à droit connu ensuite de l’audience de mesures protectrices de l’union conjugale à fixer (II) et rend la présente ordonnance sans frais judiciaires ni dépens (III), vu le recours exercé le 24 juin 2013 par J.________, qui conclut à l’annulation de cette ordonnance, vu l’exploit du 13 juin 2013 citant les parties, ainsi que le SPJ, à comparaître à l’audience du 14 août 2013, vu les pièces du dossier ; attendu que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que les ordonnances de mesures protectrices étant régies par la procédure sommaire, selon l’art. 271 CPC, le délai pour l’introduction de l’appel est de dix jours (art 314 al. 1 CPC) ; attendu que l’appel relève de la compétence d’un juge unique (art. 84 al. 2 LOJV [loi d’organisation judiciaire du 12 décembre 1979 ; RSV 173.01) ; attendu qu’en l’espèce, l’appel, déposé en temps utile, est dirigé contre une ordonnance de mesures superprovisionnelles rendue avant audition des parties, que les décisions en matière de mesures superprovisionnelles selon l’art. 265 CPC ne sont en principe pas susceptibles d’un recours ou d’un appel (ATF 137 III 417), qu’en l’espèce, bien que l’appelante se plaigne du délai de fixation de l’audience de mesures protectrices (huit semaines), ses conclusions visent clairement la décision de mesures superprovisionnelles elle-même et ne sauraient être interprétées comme des conclusions en déni de justice (art. 319 let. c CPC), que par surabondance, un retard dans la fixation de l’audience de mesures protectrices de l’union conjugale ne saurait créer une voie de recours inexistante contre une décision de mesures superprovisionnelles (CACI 5 octobre 2011/286), qu’en conséquence, ni l’appel ni le recours ne sont recevables; attendu que l’art. 11 TFJC (tarif des frais judiciaires civils du 28 septembre 2010 ; RSV 270.11.5)  prévoit que si une cause est rayée du rôle avant qu’une avance de frais ait été effectuée, il n’est pas perçu d’émolument, qu’en l’espèce, aucune avance de frais n’a été requise de la part de l’appelante à ce jour, et par conséquent ni effectuée, que l’appel étant déclaré irrecevable et la cause étant ainsi rayée du rôle, le présent arrêt peut dès lors être rendu sans frais. Le Juge délégué de la Cour d’appel civile du Tribunal cantonal, statuant à huis clos, prononce : I. L’appel est irrecevable. II. Il n’est pas perçu de frais judiciaires de deuxième instance. III. L’arrêt est exécutoire. Le président :               Le greffier : Du L'arrêt qui précède, dont la rédaction a été approuvée à huis clos, est notifié à : ‑ Me Anne Iseli Dubois (pour J.________), ‑ M. W.________, - Service de protection de la jeunesse, Office régional de protection des mineurs de l’Ouest vaudois.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