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406 vom 16. Mai 2013</w:t>
      </w:r>
    </w:p>
    <w:p>
      <w:r>
        <w:t>VD Tribunal cantonal, 2013-05-16, FR</w:t>
      </w:r>
    </w:p>
    <w:p>
      <w:r>
        <w:rPr>
          <w:b/>
        </w:rPr>
        <w:t xml:space="preserve">Quelle: </w:t>
      </w:r>
      <w:r>
        <w:t>https://mcp.opencaselaw.ch/entscheid/vd_findinfo_HC___2013___406</w:t>
      </w:r>
    </w:p>
    <w:p>
      <w:r>
        <w:t>FR: VD_FINDINFO HC / 2013 / 406 du 16 mai 2013</w:t>
      </w:r>
    </w:p>
    <w:p>
      <w:r>
        <w:t>IT: VD_FINDINFO HC / 2013 / 406 del 16 maggio 2013</w:t>
      </w:r>
    </w:p>
    <w:p>
      <w:pPr>
        <w:pStyle w:val="Heading2"/>
      </w:pPr>
      <w:r>
        <w:t>Regeste</w:t>
      </w:r>
    </w:p>
    <w:p>
      <w:r>
        <w:t>EXÉCUTION FORCÉE, AMENDE, FIXATION DE L'AMENDE, MOTIF DU RECOURS, NOUVEAU MOYEN DE FAIT | 326 al. 1 CPC (CH), 326 CPC (CH), 335 CPC (CH), 343 al. 1 let. c CPC (CH)</w:t>
      </w:r>
    </w:p>
    <w:p>
      <w:pPr>
        <w:pStyle w:val="Heading2"/>
      </w:pPr>
      <w:r>
        <w:t>Erwägungen</w:t>
      </w:r>
    </w:p>
    <w:p>
      <w:r>
        <w:rPr>
          <w:b/>
        </w:rPr>
        <w:t>E. 1</w:t>
      </w:r>
    </w:p>
    <w:p>
      <w:r>
        <w:t>La voie du recours de l’art. 319 let. a CPC est ouverte contre les décisions du tribunal de l’exécution, la voie de l’appel étant exclue par l’art. 309 let. a CPC (Jeandin, CPC commenté, Bâle 2011, n. 5 ad art. 309 CPC et n. 22 ad art. 341 CPC). La procédure sommaire étant applicable à la procédure d’exécution (art. 339 al. 2 CPC), le délai de recours est de dix jours (art. 321 al. 2 CPC). Interjeté en temps utile par des personnes qui y ont un intérêt, le recours est recevable.</w:t>
      </w:r>
    </w:p>
    <w:p>
      <w:r>
        <w:rPr>
          <w:b/>
        </w:rPr>
        <w:t>E. 2</w:t>
      </w:r>
    </w:p>
    <w:p>
      <w:r>
        <w:t>a) Saisie d’un recours contre une décision d’exécution forcée régie en première instance par la procédure sommaire (art. 339 al. 2 CPC), la Chambre des recours civile statue dans une composition à trois juges (JT 2011 III 44). b) Le recours est recevable pour violation du droit (art. 320 let. a CPC) et constatation manifestement inexacte des faits (art. 320 let. b CPC). L'autorité de recours dispose d'un plein pouvoir d'examen s'agissant de la violation du droit (Spühler, in Basler Kommentar, 2010, n. 12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Les conclusions, les allégations de fait et les preuves nouvelles sont irrecevables en procédure de recours (art. 326 CPC).</w:t>
      </w:r>
    </w:p>
    <w:p>
      <w:r>
        <w:rPr>
          <w:b/>
        </w:rPr>
        <w:t>E. 3</w:t>
      </w:r>
    </w:p>
    <w:p>
      <w:r>
        <w:t>Tout d'abord, les recourants soutiennent qu’ils n’ont pas été engagés valablement devant la Commission de conciliation par la signature du procès-verbal du 11 octobre 2012 par [...], gérant intervenant pour le compte d'A.T.________ exclusivement, qui n’aurait pas produit de procuration auprès de cette Commission en violation de l’art. 68 al. 3 CPC. Ce moyen équivaut à la remise en cause, pour vice de forme, de la transaction signée par les parties le 11 octobre 2012 et dûment ratifiée pour valoir décision entrée en force le même jour par la Commission de conciliation. Or, ce moyen, soulevé pour la première fois devant la Chambre de céans, est irrecevable (art. 326 CPC) dans le cadre d’un recours formé au sens des art. 319 ss CPC contre une ordonnance d’exécution forcée, dès lors qu’il aurait dû être soulevé, le cas échéant, dans le cadre d’une procédure de révision (art. 328 al. 1 CPC) de ladite transaction. Au demeurant, le délai pour demander la révision est de nonante jours à compter de celui où le motif de révision est découvert (art. 329 al. 1 CPC); or, ce délai semble être échu au regard des faits exposés, les recourants ne soutenant ni ne démontrant avoir respecté ledit délai. Mal fondé, leur moyen doit être rejeté.</w:t>
      </w:r>
    </w:p>
    <w:p>
      <w:r>
        <w:rPr>
          <w:b/>
        </w:rPr>
        <w:t>E. 4</w:t>
      </w:r>
    </w:p>
    <w:p>
      <w:r>
        <w:t>Subsidiairement, les recourants font valoir une violation par le premier juge de l’art. 343 al. 1 let. c CPC, l’amende d’ordre de 30 fr. par jour d’inexécution fixée paraissant disproportionnée au regard du prix de la location mensuelle d’une place de parc. a) Aux termes de cet article, lorsque la décision prescrit une obligation de faire, le tribunal de l'exécution peut prévoir une amende d'ordre de 1'000 fr. au plus pour chaque jour d'inexécution. Cette sanction n'a pas un caractère pénal, mais vise à faire pression sur la partie succombante. Son application pouvant aboutir à des montants très élevés, le tribunal de l'exécution usera de cet instrument avec une certaine retenue et dans la seule mesure où l’on peut raisonnablement attendre qu’elle incitera la partie succombante à s’exécuter (Jeandin, op. cit., n. 12 et 13 ad art. 343 CPC). b) En l'occurrence, la transaction a été conclue le 11 octobre 2012; le bail ne durera que jusqu’au 30 juin 2013. L’amende journalière a été fixée par ordonnance du 28 février 2013 et a été mise à la charge des recourants, solidairement entre eux, soit à la charge de quatre consorts, dès lors qu’ils ne s’étaient toujours pas exécutés à cette date s’agissant de la mise à disposition de la place de parc. Selon le chiffre III de l’ordonnance attaquée, le premier jour d’inexécution est considéré comme le jour suivant la réception de la décision par la dernière des parties intimées à aller retirer son pli ou, à défaut, le dernier jour du délai de garde postal. En l'espèce, les plis ont été retirés entre les 1 er et 6 mars 2013. L’amende journalière a commencé à courir au plus tôt depuis le 7 mars 2013 et son versement prendra fin au plus tard le 30 juin 2013. Compte tenu de ce qui précède, la mesure n’apparaît pas disproportionnée quant au montant fixé, le premier juge ayant pu par ailleurs, au moment de la fixation de l’amende, raisonnablement s’attendre à ce qu’elle incite les recourants à s’exécuter. Partant, le grief doit être rejeté.</w:t>
      </w:r>
    </w:p>
    <w:p>
      <w:r>
        <w:rPr>
          <w:b/>
        </w:rPr>
        <w:t>E. 5</w:t>
      </w:r>
    </w:p>
    <w:p>
      <w:r>
        <w:t>En conclusion, le recours doit être rejeté en application de la procédure de l'art. 322 al. 1 CPC et l'ordonnance entreprise confirmée. Les frais judiciaires de deuxième instance, arrêtés à 200 fr. (art. 69 al. 1 TFJC [tarif des frais judiciaires civils du 28 septembre 2010; RSV 270.11.5]), sont mis à la charge des recourants qui succombent (art. 106 al. 1 CPC), solidairement entre eux. Il n'y a pas lieu à l'allocation de dépens, l'intimée n'ayant pas été invitée à se déterminer. Par ces motifs, la Chambre des recours civile du Tribunal cantonal, statuant à huis clos, en application de l'art. 322 al. 1 CPC, prononce : I. Le recours est rejeté dans la mesure où il est recevable. II. L'ordonnance est confirmée. III. Les frais judiciaires de deuxième instance, arrêtés à 200 fr. (deux cents francs), sont mis à la charge des recourants C.T.________, A.T.________, D.T.________ et B.T.________, solidairement entre eux. IV. L'arrêt motivé est exécutoire. Le président :               La greffière : Du 16 mai 2013 Le dispositif de l'arrêt qui précède est communiqué par écrit aux intéressés. La greffière : Du L'arrêt qui précède, dont la rédaction a été approuvée à huis clos, est notifié en expédition complète, par l'envoi de photocopies, à : ‑ M. Christophe Savoy (pour C.T.________, A.T.________, D.T.________ et B.T.________), ‑ M. Pascal Stouder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