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404 vom 14. Juni 2013</w:t>
      </w:r>
    </w:p>
    <w:p>
      <w:r>
        <w:t>VD Tribunal cantonal, 2013-06-14, FR</w:t>
      </w:r>
    </w:p>
    <w:p>
      <w:r>
        <w:rPr>
          <w:b/>
        </w:rPr>
        <w:t xml:space="preserve">Quelle: </w:t>
      </w:r>
      <w:r>
        <w:t>https://mcp.opencaselaw.ch/entscheid/vd_findinfo_HC___2013___404</w:t>
      </w:r>
    </w:p>
    <w:p>
      <w:r>
        <w:t>FR: VD_FINDINFO HC / 2013 / 404 du 14 juin 2013</w:t>
      </w:r>
    </w:p>
    <w:p>
      <w:r>
        <w:t>IT: VD_FINDINFO HC / 2013 / 404 del 14 giugno 2013</w:t>
      </w:r>
    </w:p>
    <w:p>
      <w:pPr>
        <w:pStyle w:val="Heading2"/>
      </w:pPr>
      <w:r>
        <w:t>Regeste</w:t>
      </w:r>
    </w:p>
    <w:p>
      <w:r>
        <w:t>DÉCISION D'IRRECEVABILITÉ, DOMMAGE IRRÉPARABLE, ACTE DE NON-CONCILIATION, PROCÉDURE DE CONCILIATION | 209 CPC (CH), 319 let. b ch. 2 CPC (CH)</w:t>
      </w:r>
    </w:p>
    <w:p>
      <w:pPr>
        <w:pStyle w:val="Heading2"/>
      </w:pPr>
      <w:r>
        <w:t>Erwägungen</w:t>
      </w:r>
    </w:p>
    <w:p>
      <w:r>
        <w:rPr>
          <w:b/>
        </w:rPr>
        <w:t>E. 1</w:t>
      </w:r>
    </w:p>
    <w:p>
      <w:r>
        <w:t>a) Il convient d'examiner en premier lieu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Selon la jurisprudence de la cour de céans,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22 mars 2012/117). Contrairement aux cas où le recours est expressément prévu par la loi, notamment à l'art. 110 CPC, qui instaure un recours séparé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 2 CPC (CREC 22 mars 2012/11; CREC 25 janvier 2012/29; CREC 13 octobre 2011/188; CREC 28 juin 2011/95; CREC 19 juillet 2011/108). En l'espèce, la recourante n’est pas exposée à un tel préjudice, puisqu’elle conserve la possibilité de faire valoir ses moyens devant le juge du fond. Un préjudice difficilement réparable fait donc défaut.</w:t>
      </w:r>
    </w:p>
    <w:p>
      <w:r>
        <w:rPr>
          <w:b/>
        </w:rPr>
        <w:t>E. 2</w:t>
      </w:r>
    </w:p>
    <w:p>
      <w:r>
        <w:t>Au vu de ce qui précède, le recours doit être déclaré irrecevable en application de la procédure de l’art. 322 al. 1 CPC et la décision querellée confirmée. L’arrêt peut être rendu sans frais (art. 10 TFJC [tarif des frais judiciaires civils du 28 septembre 2010; RSV 270.11.5]), ni dépens, l'intimée n'ayant pas été invitée à se déterminer.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en expédition complète, par l'envoi de photocopies, à : ‑ Y.________, ‑ Mme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