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403 vom 14. Juni 2013</w:t>
      </w:r>
    </w:p>
    <w:p>
      <w:r>
        <w:t>VD Tribunal cantonal, 2013-06-14, FR</w:t>
      </w:r>
    </w:p>
    <w:p>
      <w:r>
        <w:rPr>
          <w:b/>
        </w:rPr>
        <w:t xml:space="preserve">Quelle: </w:t>
      </w:r>
      <w:r>
        <w:t>https://mcp.opencaselaw.ch/entscheid/vd_findinfo_HC___2013___403</w:t>
      </w:r>
    </w:p>
    <w:p>
      <w:r>
        <w:t>FR: VD_FINDINFO HC / 2013 / 403 du 14 juin 2013</w:t>
      </w:r>
    </w:p>
    <w:p>
      <w:r>
        <w:t>IT: VD_FINDINFO HC / 2013 / 403 del 14 giugno 2013</w:t>
      </w:r>
    </w:p>
    <w:p>
      <w:pPr>
        <w:pStyle w:val="Heading2"/>
      </w:pPr>
      <w:r>
        <w:t>Regeste</w:t>
      </w:r>
    </w:p>
    <w:p>
      <w:r>
        <w:t>SUSPENSION DE LA PROCÉDURE | 126 al. 1 CPC (CH)</w:t>
      </w:r>
    </w:p>
    <w:p>
      <w:pPr>
        <w:pStyle w:val="Heading2"/>
      </w:pPr>
      <w:r>
        <w:t>Erwägungen</w:t>
      </w:r>
    </w:p>
    <w:p>
      <w:r>
        <w:rPr>
          <w:b/>
        </w:rPr>
        <w:t>E. 1</w:t>
      </w:r>
    </w:p>
    <w:p>
      <w:r>
        <w:t>CPC).</w:t>
      </w:r>
    </w:p>
    <w:p>
      <w:r>
        <w:rPr>
          <w:b/>
        </w:rPr>
        <w:t>E. 2</w:t>
      </w:r>
    </w:p>
    <w:p>
      <w:r>
        <w:t>let. a CPC), le présent recours est recevable.</w:t>
      </w:r>
    </w:p>
    <w:p>
      <w:r>
        <w:rPr>
          <w:b/>
        </w:rPr>
        <w:t>E. 2.1</w:t>
      </w:r>
    </w:p>
    <w:p>
      <w:r>
        <w:t>Selon l’art. 126 al. 1 CPC, le tribunal peut ordonner la suspension de la procédure si des motifs d’opportunité le commandent. La procédure peut notamment être suspendue lorsqu’une décision dépend du sort d’un autre procès. Cette suspension doit correspondre à un vrai besoin (Message CPC, p. 6916 ; Haldy, CPC commenté, n. 5 ss ad art. 126 CPC, p. 512). L’ordonnance de suspension peut faire l’objet d’un recours en vertu de l’art. 126 al. 2 CPC, de sorte que la voie du recours de l’art. 319 let. b ch. 1 CPC est ouverte.</w:t>
      </w:r>
    </w:p>
    <w:p>
      <w:r>
        <w:rPr>
          <w:b/>
        </w:rPr>
        <w:t>E. 2.2</w:t>
      </w:r>
    </w:p>
    <w:p>
      <w:r>
        <w:t>Les « ordonnances » de suspension devant être considérées comme des décisions d’instruction (Jeandin, CPC commenté, n. 18 ad art. 319 CPC, p. 1273), le recours, écrit et motivé, doit être introduit auprès de l'instance de recours dans un délai de dix jours (art. 321 al. 1 et 2 CPC). Formé en temps utile par une partie qui y a un intérêt digne de protection (art. 59 al.</w:t>
      </w:r>
    </w:p>
    <w:p>
      <w:r>
        <w:rPr>
          <w:b/>
        </w:rPr>
        <w:t>E. 3.1</w:t>
      </w:r>
    </w:p>
    <w:p>
      <w:r>
        <w:t>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II, 2e éd.,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et al.,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4</w:t>
      </w:r>
    </w:p>
    <w:p>
      <w:r>
        <w:t>La recourante prétend que, saisi d’une requête d’exécution forcée d’un jugement du Tribunal des baux définitif et exécutoire, le premier juge devait se borner, conformément à l’art. 341 al. 1 CPC, à examiner le caractère exécutoire de ce jugement, respectivement, conformément à l’al. 3 de cette disposition, à prendre en considération d’éventuels faits s’opposant à l’exécution, par exemple l’extinction, le sursis, la prescription ou la péremption de la prestation due. Il devait ainsi faire abstraction d’une procédure engagée auprès du Tribunal des baux par l’intimé et des velléités de celui-ci d’interjeter un appel contre le jugement d’irrecevabilité de ce tribunal. Ce point de vue est pour lui-même fondé. Même si l’action engagée devant le Tribunal des baux tendait au constat de la nullité de la transaction du 20 avril 2010 ratifiée par cette autorité pour valoir jugement, le premier juge ne se trouvait pas en présence de faits dont la survenance aurait eu pour conséquence l’extinction de la prétention à exécuter. Le dépôt de la demande devant le Tribunal des baux et la déclaration de l’intention d’interjeter un appel constituaient bien de vrais novas, mais ceux-ci n’avaient aucunement pour effet d’éteindre l’obligation de l’intimé de restituer la chose louée. Tenu de suivre à la requête d’exécution forcée, le premier juge ne pouvait s’en abstenir motif pris de l’éventualité de la survenance ultérieure d’une telle extinction, sauf à commettre un déni de justice. La question n’est toutefois pas de savoir si le fait nouveau que constitue le procès en cours relatif à la validité de la transaction passée à l’audience de conciliation du 20 avril 2010 fait obstacle à une exécution et doit conduire à la suspension de celle-ci au sens de l’art. 337 al. 2 CPC, c’est-à-dire à sa mise à néant (Jeandin, CPC commenté, n. 15 ad art. 337 CPC, p. 1323). Il s’agit plutôt de décider s’il existe au sens de l’art. 126 al. 1 CPC des motifs d’opportunité commandant d’ordonner une suspension de la procédure. De tels motifs ont été par exemple admis s’agissant d’une procédure en dommages-intérêts relative aux suites d’un accident de circulation jusqu’à l’issue d’une procédure en matière d’assurance-invalidité (Haldy, CPC commenté, n. 6 ad art. 126 CPC, p. 512). En l’espèce, le locataire plaide tout à la fois que la convention est nulle, qu’il est au bénéfice d’un motif de révision et qu’il a droit à une prolongation de bail après résiliation transactionnelle. Si l’un des moyens était admis, il ferait obstacle à l’exécution. Dans le cadre de son pouvoir d’appréciation, le premier juge pouvait considérer que cela constituait un motif d’opportunité justifiant la suspension de la procédure. On se trouve en effet dans le cas, expressément visé à l’art. 126 al. 1 2 ème phrase CPC « où la décision dépend du sort d’un autre procès ». Rien ne permet par ailleurs de tenir la procédure de recours au Tribunal fédéral pour vouée à l’échec.</w:t>
      </w:r>
    </w:p>
    <w:p>
      <w:r>
        <w:rPr>
          <w:b/>
        </w:rPr>
        <w:t>E. 5</w:t>
      </w:r>
    </w:p>
    <w:p>
      <w:r>
        <w:t>Au vu de ce qui précède, le recours doit être rejeté et la décision querellée confirmée.</w:t>
      </w:r>
    </w:p>
    <w:p>
      <w:r>
        <w:rPr>
          <w:b/>
        </w:rPr>
        <w:t>E. 6</w:t>
      </w:r>
    </w:p>
    <w:p>
      <w:r>
        <w:t>La recourante ayant succombé, les frais judiciaires de deuxième instance, arrêtés à 500 fr., sont mis à sa charge (art. 106 CPC et 70 al. 2 TFJC [tarif des frais judiciaires civils du 28 septembre 2010 ; RSV 270.11.5]). Elle doit verser à l’intimé la somme de 800 fr. à titre de dépens. Par ces motifs, la Chambre des recours civile du Tribunal cantonal, statuant à huis clos, prononce : I. Le recours est rejeté. II. La décision est confirmée. III. Les frais judiciaires de deuxième instance, arrêtés à 500 fr. (cinq cents francs), sont mis à la charge de la recourante. IV. La recourante P.________ doit verser à l’intimé T.________ la somme de 800 fr. (huit cents francs) à titre de dépens de deuxième instance. V. L’arrêt motivé est exécutoire. Le président :               Le greffier : Du 14 juin 2013 Le dispositif de l'arrêt qui précède est communiqué par écrit aux intéressés. Le greffier : Du L'arrêt qui précède, dont la rédaction a été approuvée à huis clos, est notifié en expédition complète, par l'envoi de photocopies, à : ‑ Me Jean-Marc Schlaeppi, aab (pour P.________) ‑ Me Joël Crettaz (pour T.________).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communique,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