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400 vom 3. Juli 2013</w:t>
      </w:r>
    </w:p>
    <w:p>
      <w:r>
        <w:t>VD Tribunal cantonal, 2013-07-03, FR</w:t>
      </w:r>
    </w:p>
    <w:p>
      <w:r>
        <w:rPr>
          <w:b/>
        </w:rPr>
        <w:t xml:space="preserve">Quelle: </w:t>
      </w:r>
      <w:r>
        <w:t>https://mcp.opencaselaw.ch/entscheid/vd_findinfo_HC___2013___400</w:t>
      </w:r>
    </w:p>
    <w:p>
      <w:r>
        <w:t>FR: VD_FINDINFO HC / 2013 / 400 du 3 juillet 2013</w:t>
      </w:r>
    </w:p>
    <w:p>
      <w:r>
        <w:t>IT: VD_FINDINFO HC / 2013 / 400 del 3 luglio 2013</w:t>
      </w:r>
    </w:p>
    <w:p>
      <w:pPr>
        <w:pStyle w:val="Heading2"/>
      </w:pPr>
      <w:r>
        <w:t>Regeste</w:t>
      </w:r>
    </w:p>
    <w:p>
      <w:r>
        <w:t>MESURE DE CONTRAINTE{DROIT DES ÉTRANGERS}, RISQUE DE FUITE, DÉTENTION AUX FINS D'EXPULSION | 76 al. 1 let. b ch. 3 LEtr, 76 al. 1 let. b ch. 4 LEtr, 30 LVLEtr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6 mai 2013,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3 LVLEtr). Elle peut en particulier tenir compte de faits postérieurs à la décision attaquée. Le juge de paix du district de Lausanne est l’autorité compétente en vertu des art. 17 et 20 LVLEtr. Saisi d’une requête motivée et documentée du SPOP du 25 avril 2013, il a procédé à l’audition du recourant le même jour, en présence d’un juriste du SPOP et d’un interprète. Les déclarations du recourant ont été résumées au procès-verbal dans ce qu’elles avaient d’utile (art. 21 al. 1 et 2 LVLEtr). Le juge de paix a immédiatement rendu un ordre de détention, puis le lendemain sa décision motivée, soit dans les nonante-six heures prescrites par l’art. 80 al. 2 LEtr. La procédure suivie a ainsi été régulière, le droit d’être entendu du recourant ayant été respecté.</w:t>
      </w:r>
    </w:p>
    <w:p>
      <w:r>
        <w:rPr>
          <w:b/>
        </w:rPr>
        <w:t>E. 3.1</w:t>
      </w:r>
    </w:p>
    <w:p>
      <w:r>
        <w:t>Le recourant se plaint d’un défaut d’instruction. Il reproche au premier juge de n’avoir pas fait porter l’instruction sur son homosexualité, sur l’identité de son ami à Lausanne avec lequel il envisage un partenariat enregistré, sur la nationalité de celui-ci et ses éventuels titres de séjour en Suisse. Le recourant fait encore valoir que les conditions de détention en Roumanie et au Nigeria sont plus rudes qu’en Suisse, en particulier pour un homosexuel, au point que sa vie serait mise en danger.</w:t>
      </w:r>
    </w:p>
    <w:p>
      <w:r>
        <w:rPr>
          <w:b/>
        </w:rPr>
        <w:t>E. 3.2</w:t>
      </w:r>
    </w:p>
    <w:p>
      <w:r>
        <w:t>La décision ordonnant la mise en détention administrative de l’administré se fonde sur une décision de renvoi de Suisse en Roumanie rendue par l’ODM le 6 septembre 2012, laquelle est définitive et exécutoire. Cette décision a clairement considéré l’exécution du renvoi vers la Roumanie comme raisonnablement exigible. Cela étant, il n’y a pas lieu d’examiner plus avant les conditions de détention en Roumanie et, encore moins, au Nigeria. Il n’y a pas lieu davantage d’instruire sur l’homosexualité du recourant, invoquée pour la première fois devant la cour de céans, cette constatation de fait étant dénuée de toute pertinence à ce stade de la procédure. Au surplus, l’art. 76 al. 1 let. b ch. 3 et 4 LEtr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ou à se rendre dans le pays compétent pour se prononcer sur sa demande d’asile en vertu des accords de Dublin (cf. TF 2C_413/2012 du 22 mai 2012 c. 3.2 ; TF 2C_952/2011 du 19 décembre 2011 c. 3.3). En l’espèce, il apparaît que le recourant a refusé le 16 octobre 2012 de signer une déclaration de retour volontaire en Roumanie, indiquant qu’il désirait retourner au Nigéria. Invité à se rendre au Bureau d’aide au retour en vue de préparer son départ pour le Nigéria et à se procurer des documents d’identité auprès de son ambassade, U.________ a disparu dans la clandestinité sans avoir accompli ces démarches. Ce comportement démontre que le recourant refuse d’obtempérer aux instructions des autorités suisses. C’est donc à bon droit que le premier juge a ordonné sa mise en détention en vue de faire exécuter la décision de renvoi et on ne décèle aucune raison sérieuse qui laisserait penser que la mesure d’éloignement ne pourra pas intervenir avant l’échéance maximale de détention de dix-huit mois prévue par la loi.</w:t>
      </w:r>
    </w:p>
    <w:p>
      <w:r>
        <w:rPr>
          <w:b/>
        </w:rPr>
        <w:t>E. 4</w:t>
      </w:r>
    </w:p>
    <w:p>
      <w:r>
        <w:t>En définitive, le recours doit être rejeté et l’ordonnance confirmée. L’arrêt peut être rendu sans frais.</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Thierry de Mestral a produit le 17 juin 2013 une liste des opérations effectuées devant la cour de céans, annonçant 6 heures et 45 minutes de travail consacré à la procédure de recours et 42 fr. 30 de débours. Cette liste peut être admise de sorte qu'il y a lieu de fixer l'indemnité d'office à 1’215 fr. pour ses honoraires (180 fr. : 60 x 405 min.), TVA par 97 fr. 20 en sus, plus 42 fr. 30 de débours, TVA par 3 fr. 40 en sus, soit une indemnité d'office totalisant 1'357 fr. 90, arrondie à 1'358 francs. Par ces motifs, la Chambre des recours civile du Tribunal cantonal, statuant à huis clos, prononce : I. Le recours est rejeté. II. L’ordonnance est confirmée. III. L’indemnité d’office de Me Thierry de Mestral, conseil du recourant, est arrêtée à 1'358 fr. (mille trois cent cinquante-huit francs), TVA et débours compris. IV. L’arrêt, rendu sans frais, est exécutoire. Le président :               Le greffier : Du L'arrêt qui précède, dont la rédaction a été approuvée à huis clos, est notifié à : ‑ Me Thierry de Mestral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