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399 vom 4. Juni 2013</w:t>
      </w:r>
    </w:p>
    <w:p>
      <w:r>
        <w:t>VD Tribunal cantonal, 2013-06-04, FR</w:t>
      </w:r>
    </w:p>
    <w:p>
      <w:r>
        <w:rPr>
          <w:b/>
        </w:rPr>
        <w:t xml:space="preserve">Quelle: </w:t>
      </w:r>
      <w:r>
        <w:t>https://mcp.opencaselaw.ch/entscheid/vd_findinfo_HC___2013___399</w:t>
      </w:r>
    </w:p>
    <w:p>
      <w:r>
        <w:t>FR: VD_FINDINFO HC / 2013 / 399 du 4 juin 2013</w:t>
      </w:r>
    </w:p>
    <w:p>
      <w:r>
        <w:t>IT: VD_FINDINFO HC / 2013 / 399 del 4 giugno 2013</w:t>
      </w:r>
    </w:p>
    <w:p>
      <w:pPr>
        <w:pStyle w:val="Heading2"/>
      </w:pPr>
      <w:r>
        <w:t>Regeste</w:t>
      </w:r>
    </w:p>
    <w:p>
      <w:r>
        <w:t>MESURE PROVISIONNELLE, DIVORCE, MODIFICATION DES CIRCONSTANCES | 176 al. 1 ch. 1 CC, 179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Cour d’appel civile considère que des novas peuvent être en principe librement introduits en appel dans les causes réglées par la maxime d’office, par exemple sur la situation des enfants mineurs en droit matrimonial. En l'espèce, outre les pièces requises par le Juge délégué de la Cour de céans, l’appelant a produit un lot de onze pièces réunies sous bordereau. Parmi celles-ci, seules les fiches de salaire de l’appelant pour les mois de janvier et février 2013 n’avaient pas été produites devant le premier juge et dans le cadre de la procédure de demande unilatérale en divorce et ne figuraient pas encore au dossier. S’agissant de fixer une contribution d’entretien, notamment pour la fille mineure des parties, ces pièces sont recevables.</w:t>
      </w:r>
    </w:p>
    <w:p>
      <w:r>
        <w:rPr>
          <w:b/>
        </w:rPr>
        <w:t>E. 3.1</w:t>
      </w:r>
    </w:p>
    <w:p>
      <w:r>
        <w:t>En substance, l'appelant fait grief au premier juge d'avoir mal évalué sa situation financière, de sorte qu'il n'est pas en mesure, sauf à entamer son minimum vital, de s'acquitter de la contribution d'entretien mensuelle de 500 fr. due aux siens.</w:t>
      </w:r>
    </w:p>
    <w:p>
      <w:r>
        <w:rPr>
          <w:b/>
        </w:rPr>
        <w:t>E. 3.2</w:t>
      </w:r>
    </w:p>
    <w:p>
      <w:r>
        <w:t>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 3.2 et réf.; TF 5A_400/2012 du 25 février 2013 c. 4.1 et les arrêts cités). Pour fixer la contribution d'entretien due au conjoint à titre de mesures provisionnelles pour la durée de la procédure de divorce selon l'art. 176 al. 1 ch. 1 CC, auquel l'art. 276 CPC renvoie par analogie (Tappy, CPC Commenté, Bâle 2011, n. 6 ad art. 276 CPC),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Le moment déterminant pour apprécier si des circonstances nouvelles se sont produites est la date du dépôt de la demande de modification des mesures. C’est donc à ce moment-là qu’il y a lieu de se placer pour déterminer le revenu et son évolution prévisible (TF 5A_218/2012 du 29 juin 2012 c. 3.3.2, in FamPra.ch 2012 p. 1099 ; ATF 137 III 604 c. 4.1.1).</w:t>
      </w:r>
    </w:p>
    <w:p>
      <w:r>
        <w:rPr>
          <w:b/>
        </w:rPr>
        <w:t>E. 3.3</w:t>
      </w:r>
    </w:p>
    <w:p>
      <w:r>
        <w:t>a ) En l'espèce, l’appelant fait d’abord valoir à juste titre que, contrairement à ce qu’a retenu le premier juge, il ne gagne pas 4’010 fr. net mais environ 3’800 fr. par mois. Le décompte de son salaire afférent au mois d’avril 2013 fait en effet apparaître un salaire brut de 4’300 fr. et des déductions sociales de 807 fr. 45 (221.45 + 47.30 + 47.30 + 438.10 + 53.30). On peut s’étonner de la modicité de ce salaire servi à un ingénieur qualifié par une entreprise qui l’emploie depuis le mois de novembre 2012. Toutefois, en l’état, rien ne permet de retenir l’existence d’une rémunération cachée. b) L’appelant soutient ensuite que ses charges doivent comprendre la prime d’assurance maladie de sa concubine, dès lors que celle-ci, arrivée de Cuba en novembre 2012 et ne maîtrisant pas le français, n’a pas de revenu. Il n’a cependant pas d’obligation d’entretien à son égard et elle doit être placée devant l’alternative de trouver un emploi ou de solliciter les prestations de l’aide sociale couvrant notamment sa prime d’assurance maladie. L’appelant ne saurait mettre de son chef l’intimée devant le fait accompli de l’entretien d’un tiers. En revanche, c’est à bon droit que l’appelant se plaint de ce que le premier juge n’a pas pris en compte un montant de 400 fr. au titre de base mensuelle pour son fils [...]. L’entretien de celui-ci lui incombe en effet, puisque sa mère ne réalise aucun revenu. c) L’appelant reproche par ailleurs au premier juge de ne pas avoir tenu compte du fait qu’il payait également 30 fr. par mois à titre de remboursement de l’assistance judiciaire dont il avait bénéficié lors de son précédent divorce. On ne saurait toutefois inclure ce montant dans ses charges, les dettes en matière d’assistance judiciaire devant céder le pas à une créance en contribution d’entretien. d) Il faut au surplus prendre en considération le fait que l’appelant ne peut pas se voir imputer au titre de charge un loyer de 1620 fr. puisqu’il concerne un logement qu’il partage avec une tierce personne, à l’égard de laquelle il n’a pas d’obligation d’entretien et qui pourrait obtenir le cas échéant au titre de l’aide sociale une participation à ses frais de logement. C’est ainsi tout au plus un montant de 1000 fr. qui doit être retenu au titre de charge de loyer de l’appelant. e) Enfin, les frais de transport de l’appelant sont pris en charge par son employeur, par le biais d’un remboursement mensuel du coût d’un abonnement général. f) Au vu de ce qui précède le calcul du disponible de l’appelant se présente comme suit (en francs): Salaire               3’800 Loyer 1’000 Minimum vital adulte en concubinage 850 Base mensuelle pour l’enfant [...] 400 Droit de visite              150 Prime d’assurance de G.________ 411 Prime d’assurance de l’enfant [...] 87 ______________________________________________ Total 3'800 2’898 Le solde positif mensuel de l’appelant s’élève ainsi à 902 francs. Dans ces circonstances, il n'est pas établi, fût-ce au degré de la vraisemblance, que la situation financière de l'appelant se soit péjorée au point de justifier une réduction de la contribution d’entretien en dessous de 500 francs. Partant, le moyen tiré par l'appelant d’une violation de l'art. 179 CC est infondé.</w:t>
      </w:r>
    </w:p>
    <w:p>
      <w:r>
        <w:rPr>
          <w:b/>
        </w:rPr>
        <w:t>E. 4</w:t>
      </w:r>
    </w:p>
    <w:p>
      <w:r>
        <w:t>En conclusion, l’appel doit être rejeté et l'ordonnance entreprise confirmée, dans la procédure de l’art. 312 al. 1 CPC. L’appel étant d’emblée dépourvu de chances de succès, la requête d’assistance judiciaire est rejetée. Les frais judiciaires de deuxième instance sont arrêtés à 100 fr. (art. 65 al. 2 TFJC [tarif des frais judiciaires civils du 28 septembre 2010, RSV 270.11.5]) et mis à la charge de l’appelant (art. 106 al. 1 CPC). N’ayant pas été invitée à se déterminer, l’intimée n’a pas droit à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G.________. V. L’arrêt motivé est exécutoire. Le juge délégué : La greffière : Du</w:t>
      </w:r>
    </w:p>
    <w:p>
      <w:r>
        <w:rPr>
          <w:b/>
        </w:rPr>
        <w:t>E. 6</w:t>
      </w:r>
    </w:p>
    <w:p>
      <w:r>
        <w:t>juin 2013 Le dispositif de l'arrêt qui précède est communiqué par écrit aux intéressés. La greffière : Du L'arrêt qui précède, dont la rédaction a été approuvée à huis clos, est notifié en expédition complète, par l'envoi de photocopies, à : ‑ Me Robert Izzo, avocat (pour G.________), ‑ Me Patrick Sutter, avocat (pour I.________).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