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395 vom 20. Juni 2013</w:t>
      </w:r>
    </w:p>
    <w:p>
      <w:r>
        <w:t>VD Tribunal cantonal, 2013-06-20, FR</w:t>
      </w:r>
    </w:p>
    <w:p>
      <w:r>
        <w:rPr>
          <w:b/>
        </w:rPr>
        <w:t xml:space="preserve">Quelle: </w:t>
      </w:r>
      <w:r>
        <w:t>https://mcp.opencaselaw.ch/entscheid/vd_findinfo_HC___2013___395</w:t>
      </w:r>
    </w:p>
    <w:p>
      <w:r>
        <w:t>FR: VD_FINDINFO HC / 2013 / 395 du 20 juin 2013</w:t>
      </w:r>
    </w:p>
    <w:p>
      <w:r>
        <w:t>IT: VD_FINDINFO HC / 2013 / 395 del 20 giugno 2013</w:t>
      </w:r>
    </w:p>
    <w:p>
      <w:pPr>
        <w:pStyle w:val="Heading2"/>
      </w:pPr>
      <w:r>
        <w:t>Regeste</w:t>
      </w:r>
    </w:p>
    <w:p>
      <w:r>
        <w:t>PROTECTION DE L'UNION CONJUGALE, VISITE | 176 al.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JT 2010 III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(TF 5A_361/2011 du 7 décembre 2011 c. 5.3.1). b)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étant cumulatives. Il appartient à l’appelant de démontrer que ces deux conditions sont réalisées, de sorte que l’appel doit indiquer spécialement de tels faits et preuves nouveaux et motiver spécialement les raisons qui les rendent admissibles selon lui (JT 2011 III 43 et les réf. citées). La jurisprudence de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qu'elle porte sur la situation d'une enfant mineure, la présente cause est soumise aux maximes inquisitoire illimitée et d’office. La pièce produite par l’appelant (lot de sms échangés entre les parents de novembre 2012 à mai 2013 sur les réveils tardifs de l’enfant C.H.________), est par conséquent recevable.</w:t>
      </w:r>
    </w:p>
    <w:p>
      <w:r>
        <w:rPr>
          <w:b/>
        </w:rPr>
        <w:t>E. 3</w:t>
      </w:r>
    </w:p>
    <w:p>
      <w:r>
        <w:t>a) 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 RS 210] ; art. 273 ss CC). Le droit aux relations personnelles vise à sauvegarder le lien existant entre parents et enfants (Hegnauer, Droit suisse de la filiation, Berne 1998, n. 19.20, p. 116). Le Tribunal fédéral relève à cet égard qu'il est unanimement reconnu que le rapport de l'enfant avec ses deux parents est essentiel et qu'il peut jouer un rôle décisif dans le processus de recherche d'identité de l'enfant (ATF 130 III 165 c. 2.2.2 ;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On tiendra compte notamment de l'âge de l'enfant (préscolarité ou adolescence par exemple), de son état de santé, de ses loisirs, etc. La notion que l'enfant a du temps, selon son âge, est également importante ; de fréquentes rencontres de quelques heures peuvent ainsi être plus appropriées pour des enfants en bas âge que des week-ends entiers (Leuba, Commentaire romand, Code civil I, Bâle 2010, n. 14 ad art. 273 CC). b) L’appelant conteste la force probante donnée à l’avis médical du Dr M.________ fait valoir que les troubles du sommeil de l’enfant C.H.________ ne sont pas le reflet d’une maladie spécifique qui l’empêche de dormir ailleurs qu’au domicile maternel. Il se plaint en outre de ce que ni l’intimée ni le Dr M.________ ne l’ont tenu informé du « soi-disant » suivi médical de sa fille. En l’espèce, l’avis médical du Dr M.________ évoque les troubles du sommeil présentés par C.H.________, qui pour l’instant sont difficiles à gérer. Ce spécialiste FMH en adolescents, enfants et nourrissons indique clairement qu’il est déconseillé pour l’enfant C.H.________ de dormir en dehors de son domicile principal, afin qu’une certaine stabilité soit garantie à l’enfant au regard de son âge et des changements intervenus dans son environnement. En l’absence d’éléments contraires figurant au dossier, il ne se justifie pas de s’écarter des recommandations du Dr M.________. On ne peut que réitérer ici ce qui a déjà été exposé par le premier juge, à savoir qu’il est du ressort des parents de faire les efforts nécessaires afin de restaurer un climat minimum de confiance et de communication, et ce pour le bien-être de leur enfant commun. Plus particulièrement, l’appelant est invité à s’investir et à participer au suivi médical de sa fille afin d’en devenir partie prenante et l’intimée est invitée à inclure entièrement l’appelant dans ce suivi afin que celui-ci puisse éliminer toute méfiance envers le diagnostic posé. Il s’ensuit que c’est à bon droit que le premier juge a confirmé le droit de visite du père durant la journée. Cela étant, il faut rappeler que le maintien actuel du droit de visite conserve un caractère très provisoire et que si la situation devait perdurer, il conviendra de mener de plus amples investigations sur l’état de santé de l’enfant C.H.________ et sur l’opportunité de la mise en place d’un droit de visite incluant des nuits auprès du père. c) L’appelant fait valoir que son droit de visite est violé depuis plus de 15 mois dès lors qu’il ne peut avoir sa fille à l’heure convenue, soit à partir de 9 heures toutes les semaines alternativement le samedi ou le dimanche. Il demande à ce que les heures perdues soient décomptées et compensées chaque mois par journées ou demi-journées. Il apparaît contraire à l’intérêt de l’enfant de faire tenir aux parents une comptabilité précise des heures et minutes pendant lesquelles leur fille dort le matin au-delà de l’heure de remise prévue, respectivement du temps exact que le père ne passe pas auprès d’elle alors qu’il le devrait. A cela s’ajoute que le motif d’empêchement n’est pas imputable au parent gardien, mais est guidé par des impératifs relatifs au bien de l’enfant, qui rencontre – on l’a vu – des problèmes liés au sommeil (Juge délégué CACI 21 septembre 2011/259 c. 2.2). C’est le lieu de rappeler que la mise en application des modalités du droit de visite passe nécessairement par une bonne entente entre les parents, le dialogue, la confiance et le respect l’un de l’autre, et ce dans l’intérêt de l’enfant. On peut raisonnablement attendre des parents qu’ils mettent de côté leurs griefs et ressentiments mutuels et se mettent d’accord entre eux de manière constructive pour que le père puisse bénéficier, chaque mois, d’une demi-journée ou d’une journée de plus auprès de sa fille, voire même plus selon entente. On retiendra à cet égard qu’à l’audience de mesures protectrices de l’union conjugale du 28 mars 2013, l’intimée a déclaré à plusieurs reprises qu’elle était favorable à ce que l’appelant puisse avoir sa fille auprès de lui pendant la journée le plus souvent possible. La solution retenue par le magistrat ne peut être que confirmée.</w:t>
      </w:r>
    </w:p>
    <w:p>
      <w:r>
        <w:rPr>
          <w:b/>
        </w:rPr>
        <w:t>E. 4</w:t>
      </w:r>
    </w:p>
    <w:p>
      <w:r>
        <w:t>Il résulte de ce qui précède que l’appel doit être rejeté et la décision entreprise confirmée. Les frais judiciaires de deuxième instance sont arrêtés à 600 fr. (art. 65 al. 2 TFJC [tarif des frais judiciaires civils du 28 septembre 2010 ; RSV 270.11.5]) et mis à la charge de l'appelant, qui succombe (art. 106 al. 1 CPC). N'ayant pas été invitée à se déterminer, l'intimée n’a pas droit à des dépens.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A.H.________. IV. L'arrêt motivé est exécutoire. La juge déléguée : La greffière : Du 21 juin 2013 Le dispositif de l'arrêt qui précède est communiqué par écrit aux intéressés. La greffière : Du L'arrêt qui précède, dont la rédaction a été approuvée à huis clos, est notifié en expédition complète, par l'envoi de photocopies, à : ‑ Me Astyanax Peca (pour A.H.________) ‑ Me José Coret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