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389 vom 8. Mai 2013</w:t>
      </w:r>
    </w:p>
    <w:p>
      <w:r>
        <w:t>VD Tribunal cantonal, 2013-05-08, FR</w:t>
      </w:r>
    </w:p>
    <w:p>
      <w:r>
        <w:rPr>
          <w:b/>
        </w:rPr>
        <w:t xml:space="preserve">Quelle: </w:t>
      </w:r>
      <w:r>
        <w:t>https://mcp.opencaselaw.ch/entscheid/vd_findinfo_HC___2013___389</w:t>
      </w:r>
    </w:p>
    <w:p>
      <w:r>
        <w:t>FR: VD_FINDINFO HC / 2013 / 389 du 8 mai 2013</w:t>
      </w:r>
    </w:p>
    <w:p>
      <w:r>
        <w:t>IT: VD_FINDINFO HC / 2013 / 389 del 8 maggio 2013</w:t>
      </w:r>
    </w:p>
    <w:p>
      <w:pPr>
        <w:pStyle w:val="Heading2"/>
      </w:pPr>
      <w:r>
        <w:t>Regeste</w:t>
      </w:r>
    </w:p>
    <w:p>
      <w:r>
        <w:t>DIVORCE, AUTORITÉ PARENTALE, DROIT DE GARDE, RETRAIT DU DROIT DE GARDE | 133 al. 1 CC, 133 al. 2 CC, 133 al. 3 CC, 133 CC, 310 al. 1 CC, 310 CC</w:t>
      </w:r>
    </w:p>
    <w:p>
      <w:pPr>
        <w:pStyle w:val="Heading2"/>
      </w:pPr>
      <w:r>
        <w:t>Erwägungen</w:t>
      </w:r>
    </w:p>
    <w:p>
      <w:r>
        <w:rPr>
          <w:b/>
        </w:rPr>
        <w:t>E. 1</w:t>
      </w:r>
    </w:p>
    <w:p>
      <w:r>
        <w:t>L’appel est recevable contre les décisions finales de première instance (art. 308 al. 1 let. a CPC [Code de procédure civile du 19 décembre 2010; RS 272]), dans les causes non patrimoniales ou dont la valeur litigieuse au dernier état des conclusions est de 10'000 fr. au moins (art. 308 al. 2 CPC). L’appel, écrit et motivé, est introduit dans les trente jours à compter de la notification de la décision motivée (art. 311 CPC). En l’espèce, formé en temps utile par des parties qui y ont intérêt (art. 59 al. 2 let. a CPC) et portant sur des conclusions non patrimoniales et patrimoniales supérieures à 10’000 fr., l’appel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(JT 2011 III 43 et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spéc. pp. 138). Il appartient à l’appelant de démontrer que ces conditions sont réalisées, de sorte que l’appel doit indiquer spécialement de tels faits et preuves nouveaux et motiver spécialement les raisons qui les rendent admissibles selon lui (Tappy, ibid., pp. 136-137). La pièce produite par l'appelant est postérieure à la décision attaquée et est recevable. c)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2011, n. 5 ad art. 316 CPC, p. 1263).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 Si l’instance d’appel doit procéder à l’administration d’une preuve nouvelle ou instruire à raison de faits nouveaux, son pouvoir sera limité par les restrictions de l’art. 317 CPC (Jeandin, op. cit., n. 9 ad art. 316 CPC). En l'occurrence, l'appelant a requis la production de nouveaux rapports sur la situation des enfants par le foyer P.________ et le SPJ. Procédant à une appréciation anticipée des preuves, le Cour de céans considère que ces nouveaux rapports ne sont pas de nature à apporter des éléments essentiels pour le jugement de la présente cause, compte tenu de ce qui va suivre. Il ne sera dès lors pas donné suite à la requête de l'appelant.</w:t>
      </w:r>
    </w:p>
    <w:p>
      <w:r>
        <w:rPr>
          <w:b/>
        </w:rPr>
        <w:t>E. 3</w:t>
      </w:r>
    </w:p>
    <w:p>
      <w:r>
        <w:t>L'appelant conteste le partage de l'autorité parentale opéré par les premiers juges. Il requiert que l'autorité parentale sur ses deux enfants lui soit confiée. L'appelante conteste également ce partage de l'autorité parentale; elle considère que l'autorité parentale sur les deux enfants aurait dû lui être attribuée, ainsi que la garde sur ceux-ci, la mesure de retrait de droit garde ne se justifiant plus selon elle. a/aa) Selon l'art. 133 al. 1 et 2 CC, le juge du divorce est notamment tenu d'attribuer l'autorité parentale sur les enfants mineurs des parties à l'un ou l'autre des parents, en tenant compte de toutes les circonstances importantes pour le bien de l'enfant. Dans chaque cas, l'attribution doit se faire de manière à répondre le mieux possible aux besoins des enfants. Au nombre des critères essentiels entrent en ligne de compte les relations personnelles entre parents et enfant, les capacités éducatives respectives des parents, leur aptitude à prendre soin de l'enfant et à s'en occuper personnellement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 5.3 ; ATF 114 II 200 c. 3; ATF 112 II 381 c. 3). Ce dernier critère revêt un poids particulier lorsque les capacités d'éducation et de soin sont similaires (ATF 115 II 206 c. 4a). L'art. 133 al. 3 CC prévoit, comme une exception au principe de l'attribution de l'autorité parentale à l'un des parents,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Ainsi, même dans le cas où les parents requièrent conjointement le maintien de l'exercice en commun de l'autorité parentale après le divorce et soumettent à la ratification du juge une convention prévoyant un droit de garde conjoint, l'admissibilité d'un tel accord doit être appréciée sous l'angle du bien de l'enfant et dépend essentiellement des circonstances du cas particulier, telles que l'âge de l'enfant, la proximité des logements parentaux entre eux et avec l'école, la capacité de coopération des parents. Selon la jurisprudence, l'instauration d'un droit de garde conjoint présuppose en tous les cas l'accord des deux parents et ne peut être imposée à l'un d'entre eux contre sa volonté (TF 5C.42/2001 du 18 mai 2001 c. 3 publié in FamPra.ch 2001 p. 823; TF 5A_495/2008 du 30 octobre 2008 c. 4.2 publié in FamPra.ch 2009 p. 238). Cette règle est conforme à l’art. 8 CEDH (TF 5A_540/2011 du 30 mars 2012 c. 3). a/ab)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Il 353 c. 3; ATF 115 II 206 c. 4a; ATF 115 Il 317 c. 2; TF 5A_181/2008 du 25 avril 2008, FamPra.ch 4/2008, n. 104 p. 98; TF 5C.238/2005 du 2 novembre 2005, FamPra.ch 2006 n. 20 p. 193).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 3, in FamPra.ch 2012 p. 1094). A capacités équivalentes, il n’est pas arbitraire d’attribuer le droit de garde au parent qui a démontré depuis plusieurs mois qu’il pouvait s’occuper de l’enfant (TF 5A_693/2007 du 18 février 2008 concernant des mesures protectrices de l’union conjugale). Toujours à capacités équivalentes, la disponibilité d’un parent à collaborer avec l’autre pour ce qui a trait à l’enfant jouera un rôle déterminant (RDT 2008 p. 354). Malgré la disponibilité personnelle du père inférieure à celle de la mère, le fait que le père ait la garde des enfants depuis cinq ans apparaît comme un critère prépondérant, d’autant plus qu’il offre un cadre propice à l’épanouissement des enfants(TF 5A_793/2010 du 14 novembre 2011 c. 4.2.2.).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Une garde alternée n’est envisageable que si les parents sont d’accord et ont pris toutes les mesures pour régler les aspects pratiques de manière à préserver le bien de l’enfant (François Chaix, in Pichonnaz/Foëx [éd.], Commentaire romand, Code civil I, 2010, n. 19 ad art. 176 CC ; Juge délégué CACI 20 décembre 2011/411). a/ac) L'exercice de l'autorité parentale, comme du droit de garde qui en est une composante, doit poursuivre en toutes circonstances le bien de l'enfant (art. 301 al. 1 CC). Si ce bien est menacé et que les parents n'y remédient pas d'eux-mêmes, ou s'ils sont hors d'état de le faire, l'autorité tutélaire – respectivement le juge chargé de régler les relations des père et mère avec l'enfant (art. 315a al. 1 CC) – prend les dispositions adéquates pour la protection de l'enfant (art. 307 ss CC).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 la filiation, Traité de droit privé suisse, vol. III, tome II, 1, p. 247; Meier/Stettler, Droit de la filiation, 4 ème éd., 2009, n. 1216, p. 699). Lorsqu'elle ne peut éviter, par une mesure moins grave, que le développement de l'enfant ne soit compromis, l'autorité compétente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Droit suisse de la filiation et de la famille, 4 ème éd., Berne 1998, adaptation française par Meier, n. 27.36, p. 194). Les dissensions entre parents peuvent également représenter un danger pour l'enfant (Hegnauer, op. cit., n. 27.14, p. 186). b) En l'occurrence, s'agissant de la question de l'autorité parentale, les arguments développés par les premiers juges, sur la base des constatations de l’expert Sanchez, apparaissent pertinents. En effet, seule une parfaite égalité entre les parents est de nature à maintenir le fragile équilibre qui s'est instauré. En revanche, une assymétrie entre les parents est susceptible de provoquer un renouveau de leur conflit au détriment des enfants, ce qu’il y a précisément lieu d’éviter. La solution des premiers juges, consistant à attribuer l’autorité parentale au père sur son fils et à la mère sur sa fille s’avère ainsi adéquate et doit être confirmée par adoption de motifs. De plus, contrairement à ce que soutient l'appelante, un partage de l’autorité parentale ne conduit pas inéluctablement à une séparation des enfants puisqu’il ne vaut qu’aussi longtemps que la garde est attribuée au SPJ, soit durant la période pendant laquelle les enfants sont placés ensemble en foyer. En ce qui concerne la question du maintien de la mesure de retrait de droit de garde et de son éventuel attribution à l'appelante, celle-ci ne démontre nullement que le conflit entre les parents ne serait désormais plus susceptible de perturber gravement l’éducation des enfants. Si les premiers juges ont certes relevé une amélioration dans le comportement des parents, celle-ci ne suffit pas à exclure tout danger pour les enfants. En particulier, il n'est pas anodin que l'appelante ait présenté à l’audience de jugement sans toutefois les produire des dessins de sa fille censés établir des atteintes d’ordre sexuel, alors même que le père a été libéré au pénal et qu’elle a échappé de justesse à une condamnation pour diffamation; il apparaît ainsi qu'elle est loin d’avoir achevé un processus d’atténuation du conflit avec l'intimé, dont l’expert a déclaré qu’il devait être conduit dans le cadre du placement des enfants au foyer P.________. On ne saurait dans ces conditions prendre le risque qu’une restitution de la garde et les difficultés liées à l'exercice du droit de visite ne compromettent à nouveau gravement la situation des enfants. Sur ce point également, le raisonnement adéquat des premières juges doit être confirmé par adoption de motifs. Pour le surplus, on relèvera que, vu la confirmation du retrait du droit de garde et le placement des enfants, la portée de l’autorité parentale est réduite à des décisions ponctuelles qui peuvent être préparées par le gardien, ainsi en ce qui concerne le choix d’un médecin ou d’une école, sans qu’une coordination entre les deux parents ne s’impose. Cela confirme au besoin que la solution des premiers juges sur cette question est opportune. Compte tenu de ce qui précède, il n'y a pas lieu d'examiner plus avant les autres griefs de l'appelante s'agissant de la question de la pension pour les enfants qui devient sans objet. Quant à la question des dépens de première instance, l'appréciation des premiers juges ne prête pas le flanc à la critique et peut être confirmée.</w:t>
      </w:r>
    </w:p>
    <w:p>
      <w:r>
        <w:rPr>
          <w:b/>
        </w:rPr>
        <w:t>E. 4</w:t>
      </w:r>
    </w:p>
    <w:p>
      <w:r>
        <w:t>En conclusion, les appels doivent être rejetés en application de la procédure de l'art. 312 al. 1 CPC et le jugement entrepris confirmé. Les frais judiciaires de deuxième instance, arrêtés à 600 fr. pour l’appelant et à 600 fr. pour l'appelante, qui succombent tous deux (art. 63 al. 1 TFJC [tarif des frais judiciaires civils du 28 septembre 2010, RSV 270.11.5]), sont laissés à la charge de l’Etat, dès lors qu'ils bénéficient de l’assistance judiciaire. Me Kathrin Gruber a produit une liste détaillée de ses opérations annonçant 4h30 de travail et 50 fr. de débours. Ce décompte peut être admis. Son indemnité d'office doit ainsi être arrêtée à 928 fr. 80, correspondant à 4h30 de travail à un tarif horaire de 180 fr., plus 50 fr. de débours et 68 fr. 80 de TVA. Me Paul-Arthur Treyvaud a également produit une liste détaillée de ses opérations annonçant 16h45 de travail et 68 fr. 60 de débours. Ce décompte paraît excessif compte tenu du fait que Me Treyvaud est le conseil de l'appelante depuis le début de la procédure et qu'il a donc une connaissance complète du dossier; il doit ainsi être réduit. L'indemnité d'office de Me Paul-Arthur Treyvaud est ainsi arrêtée à 1'220 fr. 40, correspondant à 6h de travail à un tarif horaire de 180 fr., plus 50 fr. de débours et 90 fr. 40 de TVA. Les bénéficiaires de l'assistance judiciaire sont, dans la mesure de l'art. 123 CPC, tenus au remboursement des frais judiciaires et de l'indemnité à leur conseil d'office mis à la charge de l'Etat. Les deux parties succombant,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