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359 vom 30. Mai 2013</w:t>
      </w:r>
    </w:p>
    <w:p>
      <w:r>
        <w:t>VD Tribunal cantonal, 2013-05-30, FR</w:t>
      </w:r>
    </w:p>
    <w:p>
      <w:r>
        <w:rPr>
          <w:b/>
        </w:rPr>
        <w:t xml:space="preserve">Quelle: </w:t>
      </w:r>
      <w:r>
        <w:t>https://mcp.opencaselaw.ch/entscheid/vd_findinfo_HC___2013___359</w:t>
      </w:r>
    </w:p>
    <w:p>
      <w:r>
        <w:t>FR: VD_FINDINFO HC / 2013 / 359 du 30 mai 2013</w:t>
      </w:r>
    </w:p>
    <w:p>
      <w:r>
        <w:t>IT: VD_FINDINFO HC / 2013 / 359 del 30 maggio 2013</w:t>
      </w:r>
    </w:p>
    <w:p>
      <w:pPr>
        <w:pStyle w:val="Heading2"/>
      </w:pPr>
      <w:r>
        <w:t>Regeste</w:t>
      </w:r>
    </w:p>
    <w:p>
      <w:r>
        <w:t>MESURE DE CONTRAINTE{DROIT DES ÉTRANGERS}, RENVOI{DROIT DES ÉTRANGERS} | 76 al. 1 let. b ch. 3 LEtr, 76 al. 1 let. b ch. 4 LEtr, 80 al. 6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13 mai 2013,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Le Juge de paix du district de Lausanne est l’autorité compétente en vertu des art. 17 et 20 LVLEtr. Saisi d’une requête motivée et documentée du SPOP du 30 avril 2013, ce magistrat a procédé à l'audition du recourant le même jour, en présence notamment d'un interprète. Le recourant a été entendu et ses déclarations ont été résumées au procès-verbal dans ce qu'elles avaient d'utile (art. 21 al. 1 et 2 LVLEtr). A l'issue de l'audition, le premier juge a immédiatement rendu un ordre de détention et sa décision motivée a été notifiée le lendemain au recourant, soit dans le délai légal de nonante-six heures (art. 16 al. 1 LVLEtr).</w:t>
      </w:r>
    </w:p>
    <w:p>
      <w:r>
        <w:rPr>
          <w:b/>
        </w:rPr>
        <w:t>E. 4</w:t>
      </w:r>
    </w:p>
    <w:p>
      <w:r>
        <w:t>a) Le recourant soutient que les conditions de détention fixées à l’art. 76 al. 1 let. b ch. 3 et 4 LEtr ne sont pas remplies, car il a l’intention de quitter la Suisse pour l’Espagne, pays dans lequel il était domicilié avant son arrivée en Suisse. Il invoque en outre l’art. 69 al. 2 LEtr qui permet à l’étranger qui a la possibilité de se rendre légalement dans plusieurs Etats d’être expulsé dans le pays de son choix.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lI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lI 56 c. 3.1; ATF 125 Il 369 c. 3b/aa; ATF 122 lI 49, rés. in JT 1998 I 95). c) En l’espèce, le recourant a refusé d’embarquer le 21 mars 2013 sur le vol prévu à destination de Tbilissi. Il démontre ainsi clairement, par son comportement, qu’il n’entend pas retourner dans son pays d’origine, ce qui est encore confirmé par le contenu de son recours. Pour le reste, le recourant n’établit nullement qu’il remplirait les conditions d’une réadmission en Espagne et la demande adressée à cet égard par le SPOP à l’ODM s’est soldée par un échec. Les conditions d’un séjour légal en Espagne n’étant pas remplies selon les documents à disposition des autorités, l’application de l’art. 69 al. 2 LEtr est exclue (CREC du 23 janvier 2013/21).</w:t>
      </w:r>
    </w:p>
    <w:p>
      <w:r>
        <w:rPr>
          <w:b/>
        </w:rPr>
        <w:t>E. 5</w:t>
      </w:r>
    </w:p>
    <w:p>
      <w:r>
        <w:t>a) Le recourant invoque ensuite une violation de l’art. 80 al. 6 LEtr en ce sens que le premier juge aurait injustement considéré que son renvoi était exécutable. Il expose que s'il est expulsé vers la Géorgie, il sera recherché sans relâche dans un but de vengeance par des habitants de sa région le croyant responsable de la condamnation à une peine de prison de l'un des leurs. b) Aux termes de l’art. 80 al. 6 LEtr, la détention est levée lorsque le motif de détention n’existe plus ou que l’exécution du renvoi ou de l’expulsion s’avère impossible pour des raisons juridiques ou matérielles (let. a). Pour déterminer si le renvoi est possible, il y a lieu de faire un pronostic: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Il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TF 2C_35/2009 du 13 février 2009 c. 6.2; TF 2C_445/2007 du 30 octobre 2007 c. 4.2; TF 2A_47/2007 du 18 avril 2007 c. 2.3). c) En l’espèce, les circonstances alléguées par le recourant ne sont ni établies ni pertinentes au regard de l’art. 80 al. 6 LEtr. Cette disposition ne traite en effet que de l’impossibilité du renvoi lui-même et non des conditions de vie de l’étranger une fois de retour dans son pays d’origine. En se prévalant de menaces dont il ferait l’objet de la part de compatriotes, le recourant n’établit aucune circonstance de nature à rendre impossible l’exécution de son renvoi et il n’appartient pas, comme on l’a vu, au juge de la détention de revoir la décision de renvoi.</w:t>
      </w:r>
    </w:p>
    <w:p>
      <w:r>
        <w:rPr>
          <w:b/>
        </w:rPr>
        <w:t>E. 6</w:t>
      </w:r>
    </w:p>
    <w:p>
      <w:r>
        <w:t>a) En conclusion, le recours doit être rejeté et l’ordonnance confirmée. b) L’arrêt peut être rendu sans frais. c)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a déposé, le 16 mai 2013, une liste des opérations, dont il ressort qu’il a consacré trois heures et cinquante minutes et son stagiaire cinq heures et trente minutes à la procédure de recours. Vu l’ampleur de la cause et du travail accompli, il y a lieu d'admettre trois heures d'avocat et quatre heures de stagiaire. Compte tenu d'un tarif horaire de 180 fr. pour un avocat et de 110 fr. pour un stagiaire, l'indemnité doit être fixée à 980 fr., montant auquel s'ajoutent les débours par 100 fr. et la TVA sur le tout par 86 fr. 40, soit 1'166 fr. 40 au total. Par ces motifs, la Chambre des recours civile du Tribunal cantonal, statuant à huis clos, prononce : I. Le recours est rejeté. II. L'ordonnance est confirmée. III. L'arrêt est rendu sans frais. IV. L'indemnité d'office de Me Philippe Chaulmontet, conseil du recourant, est arrêtée à 1'166 fr. 40 (mille cent soixante-six francs et quarante centimes), TVA et débours compris. V. L'arrêt motivé est exécutoire. Le président :               La greffière : Du 31 mai 2013 Le dispositif de l'arrêt qui précède est communiqué par écrit aux intéressés. La greffière : Du L'arrêt qui précède, dont la rédaction a été approuvée à huis clos, est notifié en expédition complète, par l'envoi de photocopies, à : ‑ Me Philippe Chaulmontet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