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357 vom 3. Juni 2013</w:t>
      </w:r>
    </w:p>
    <w:p>
      <w:r>
        <w:t>VD Tribunal cantonal, 2013-06-03, FR</w:t>
      </w:r>
    </w:p>
    <w:p>
      <w:r>
        <w:rPr>
          <w:b/>
        </w:rPr>
        <w:t xml:space="preserve">Quelle: </w:t>
      </w:r>
      <w:r>
        <w:t>https://mcp.opencaselaw.ch/entscheid/vd_findinfo_HC___2013___357</w:t>
      </w:r>
    </w:p>
    <w:p>
      <w:r>
        <w:t>FR: VD_FINDINFO HC / 2013 / 357 du 3 juin 2013</w:t>
      </w:r>
    </w:p>
    <w:p>
      <w:r>
        <w:t>IT: VD_FINDINFO HC / 2013 / 357 del 3 giugno 2013</w:t>
      </w:r>
    </w:p>
    <w:p>
      <w:pPr>
        <w:pStyle w:val="Heading2"/>
      </w:pPr>
      <w:r>
        <w:t>Regeste</w:t>
      </w:r>
    </w:p>
    <w:p>
      <w:r>
        <w:t>DÉCISION EXÉCUTOIRE, ATTESTATION, CHOSE JUGÉE | 336 al. 1 let. a CPC (CH), 336 al. 2 CPC (CH)</w:t>
      </w:r>
    </w:p>
    <w:p>
      <w:pPr>
        <w:pStyle w:val="Heading2"/>
      </w:pPr>
      <w:r>
        <w:t>Erwägungen</w:t>
      </w:r>
    </w:p>
    <w:p>
      <w:r>
        <w:rPr>
          <w:b/>
        </w:rPr>
        <w:t>E. 1</w:t>
      </w:r>
    </w:p>
    <w:p>
      <w:r>
        <w:t>LOJV [loi vaudoise d'organisation judiciaire du 12 décembre 1979; RSV 173.01]). c) L’existence d’un intérêt de la partie recourante est une condition générale de recevabilité de tout recours, cet intérêt devant être juridique et non de fait (ATF 127 III 429 c. 1b ; ATF 118 II 108 c. 2c). En l’espèce, le recourant conteste la décision qui a ordonné la liquidation officielle de la succession de A.P.________ contre lequel il a une créance. Il a un intérêt juridiquement protégé à remettre en cause cette décision et à faire constater que la succession est insolvable, ce qui lui permettrait de s’éviter les risques d’un recours actuellement pendant au Tribunal fédéral et d’une avance de frais pour faire traiter la faillite. Interjeté en temps utile et motivé (art. 321 al. 1 CPC),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 et les preuves nouvelles sont irrecevables en procédure de recours (art. 326 CPC), dès lors qu'il s'agit d'une voie extraordinaire de remise en cause n'offrant qu'un pouvoir d'examen limité à l'instance supérieure (Jeandin, CPC commenté, nn.1 et 2 ad art. 326 CPC, p. 1284). En l'espèce, il n’y a pas lieu de statuer sur la recevabilité des pièces produites par le recourant à l’appui de son recours dans la mesure où celles-ci font partie intégrante du dossier de première instance.</w:t>
      </w:r>
    </w:p>
    <w:p>
      <w:r>
        <w:rPr>
          <w:b/>
        </w:rPr>
        <w:t>E. 3</w:t>
      </w:r>
    </w:p>
    <w:p>
      <w:r>
        <w:t>a) Le recourant ne conteste pas le raisonnement du premier jugement qui a considéré que la créance qui rendait la succession obérée était une créance portée au passif de l’inventaire de la succession, créance faisant actuellement l’objet d’un litige pendant devant le Tribunal fédéral. En revanche, il est exact qu’il ressort de l’inventaire de la succession du 17 janvier 2013 que l’actif successoral se monte à 972'508 fr. 90 (part revenant à la succession après liquidation du régime matrimonial) alors que les passifs se montent à 3'192'759 fr. 15. Parmi ces passifs, figurent deux poursuites n° [...] et [...] pour un montant total de 3'171'664 fr. 75 qui ont trait aux montants réclamés par F.________ ensuite de la décision de la Cour civile du 17 novembre 2010. Ainsi, les passifs de la succession sont majoritairement composés des montants réclamés par F.________ de sorte que si le Tribunal fédéral devait admettre le recours formé par B.P.________ contre la décision de la Chambre des recours civile, la succession ne serait plus obérée. Pour le recourant, ce raisonnement n’a pas lieu d’être. Il considère au contraire qu’il est en droit de faire exécuter l’arrêt de la Chambre des recours civile du 10 février 2012, dont le caractère exécutoire figure dans le dispositif. Il rappelle également que l’ordonnance de suspension rendue le 19 juin 2012 par le Tribunal fédéral n’est pas assortie d’un effet suspensif et que l’on ne se trouve pas dans l’une des hypothèses prévues par l’art. 103 al. 2 LTF (Loi sur le Tribunal fédéral du 17 juin 2005 ; RS 173.110). b) Selon l’art. 336 al. 1 let. a CPC, une décision est exécutoire lorsqu’elle est entrée en force et que le tribunal n’en a pas suspendu l’exécution. Le caractère exécutoire survient en principe avec l’entrée en force de chose jugée de la décision, à savoir dès le moment où le jugement ne peut plus être remis en cause par la voie ordinaire (Jeandin, CPC commenté, n. 2 ad art. 336 CPC et les réf. cit.). Les décisions rendues par l’instance supérieure acquièrent leur caractère exécutoire aussitôt prononcées, dans la mesure où un recours auprès du Tribunal fédéral ne déploie pas d’effet suspensif sous réserve de son octroi par le juge instructeur (Jeandin, op. cit., n. 7 ad art. 336 CPC). Cela ne dispense pas pour autant le recourant d’obtenir une attestation du caractère exécutoire de la décision (art. 336 al. 2 CPC), attestation indispensable pour que la procédure d’exécution puisse suivre son cours (Jeandin, op. cit., n. 9 ad art. 336 CPC). En l’espèce, le recourant ne prétend pas avoir demandé une telle attestation, ce qui aurait eu pour effet probable d’amener le juge instructeur à prononcer l’effet suspensif, étant rappelé que l’art. 103 al. 3 LTF permet d’assortir le recours de l’effet suspensif même hors des hypothèses prévues par l’art. 103 al. 2 LTF. Dans ces conditions, l’opinion du premier juge qui a considéré qu’il était prématuré de considérer, à ce stade, que la succession était insolvable doit être approuvée en tant qu’elle ne constitue pas une violation de l’art. 336 CPC. Cette décision se justifie d’autant plus qu’elle prévient le risque de décisions contradictoires : à supposer que le recours soit maintenu par l’héritière de feu A.P.________ et en cas de gain du procès par celle-ci, on se trouverait alors dans la situation, à suivre le recourant, d’une succession traitée par le Juge de la faillite alors qu’elle n’est pas insolvable. Certes, l’héritière pourrait demander la révocation de la faillite, mais cette solution ne serait guère heureuse car elle ne répondrait pas au principe de l’économie de procédure. En outre, comme l’observe le premier juge, s’il devait s’avérer, en cours de liquidation officielle que la succession est insolvable (retrait du recours au Tribunal fédéral ; perte du procès), il appartiendrait alors au liquidateur d’aviser immédiatement le Juge de paix (art. 158 al. 3 CDPJ) afin que la succession soit traitée selon les règles de la faillite. Les griefs du recourant sont ainsi infondés.</w:t>
      </w:r>
    </w:p>
    <w:p>
      <w:r>
        <w:rPr>
          <w:b/>
        </w:rPr>
        <w:t>E. 4</w:t>
      </w:r>
    </w:p>
    <w:p>
      <w:r>
        <w:t>juin 2013 Le dispositif de l'arrêt qui précède est communiqué par écrit aux intéressés. Le greffier : Du L'arrêt qui précède, dont la rédaction a été approuvée à huis clos, est notifié en expédition complète, par l'envoi de photocopies, à : ‑ Me Alain Dubuis (pour F.________), - Me Michel Monod (pour B.P.________), - Me Antoine Rochat.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