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35 vom 16. Januar 2013</w:t>
      </w:r>
    </w:p>
    <w:p>
      <w:r>
        <w:t>VD Tribunal cantonal, 2013-01-16, FR</w:t>
      </w:r>
    </w:p>
    <w:p>
      <w:r>
        <w:rPr>
          <w:b/>
        </w:rPr>
        <w:t xml:space="preserve">Quelle: </w:t>
      </w:r>
      <w:r>
        <w:t>https://mcp.opencaselaw.ch/entscheid/vd_findinfo_HC___2013___35</w:t>
      </w:r>
    </w:p>
    <w:p>
      <w:r>
        <w:t>FR: VD_FINDINFO HC / 2013 / 35 du 16 janvier 2013</w:t>
      </w:r>
    </w:p>
    <w:p>
      <w:r>
        <w:t>IT: VD_FINDINFO HC / 2013 / 35 del 16 gennaio 2013</w:t>
      </w:r>
    </w:p>
    <w:p>
      <w:pPr>
        <w:pStyle w:val="Heading2"/>
      </w:pPr>
      <w:r>
        <w:t>Regeste</w:t>
      </w:r>
    </w:p>
    <w:p>
      <w:r>
        <w:t>PROTECTION DE L'UNION CONJUGALE, SÉPARATION DE BIENS | 176 al. 1 ch. 3 CC, 176 CC, 308 al. 1 let. b CPC (CH), 308 CPC (CH), 312 al. 1 CPC (CH)</w:t>
      </w:r>
    </w:p>
    <w:p>
      <w:pPr>
        <w:pStyle w:val="Heading2"/>
      </w:pPr>
      <w:r>
        <w:t>Erwägungen</w:t>
      </w:r>
    </w:p>
    <w:p>
      <w:r>
        <w:rPr>
          <w:b/>
        </w:rPr>
        <w:t>E. 15</w:t>
      </w:r>
    </w:p>
    <w:p>
      <w:r>
        <w:t>ad art. 176 CC, p. 1239). Toutefois de simples motifs de convenance ne suffisent pas et il convient de ne prononcer la séparation de biens qu'en présence d'éléments objectifs démontrant que les rapports économiques entre les époux sont devenus insupportables (Chaix, op. cit., n. 126 ad art. 176 CC, p. 1239). b) En l'occurrence, il résulte du bilan intermédiaire de la société B.________ SA que celle-ci a subi une perte d'actifs de 87'659 fr. 70 sur les neufs premiers mois de l'année 2012. Sa cause réside dans la baisse drastique du chiffre d'affaires de la société, ce que confirme le témoin Y.________ qui tient la comptabilité de l'entreprise. Ce dernier n'exclut d'ailleurs pas une liquidation prochaine de dite société. Selon ce même témoignage, la société précitée a versé des dividendes à hauteur de 130'000 fr. à l'appelant en juillet 2012. Toujours selon ce même témoignage, D.H.________, en dépit de la mauvaise santé financière de la société, a prélevé sur les comptes de celle-ci 30'000 fr. en avril 2012. Vu le régime matrimonial des époux, la part de propriété d'une demie de l'appelant dans le capital‑actions de la société constitue une part substantielle des avoirs des époux. A l'évidence, le comportement de l'intimé qui prélève des montants importants alors que le chiffre d'affaires de la société ne permet pas de couvrir les salaires porte atteinte aux intérêts pécuniaires de l'intimée. C'est donc à juste titre que le premier juge a prononcé la séparation de biens des époux H.________. Mal fondé, le grief de l'appelant doit donc être rejeté. 4. Dans un second moyen, l'appelant fait encore valoir que le premier juge aurait constaté les faits de la cause de façon inexacte en se focalisant uniquement sur la perte qu'a éprouvée la société pour les neufs premiers mois de 2012. L'appelant soutient que le premier juge devait prendre en compte d'autres éléments qui lui auraient permis de dire que les intérêts pécuniaires de l'intimée ne seraient pas en péril. L'appelant se garde bien de dire lesquels. Il faut au contraire constater que l'opinion du premier juge repose sur des éléments concrets qui permettent précisément de justifier la séparation de biens des époux. L'appel doit donc également être rejeté sur ce point. 5. En définitive, l'appel, manifestement infondé au sens de l'art. 312 al. 1 CPC, doit être rejeté et le prononcé entrepris confirmé. Les frais judiciaires de deuxième instance, arrêtés à 600 fr. (art. 65 al. 2 TFJC [tarif du 28 septembre 2010 des frais judiciaires civils; RSV 270.11.5), sont mis à la charge de l'appelant, qui succombe (art. 106 al. 1 CPC). Il n'y a pas lieu d'allouer de dépens de deuxième instance, l'intimée n'ayant pas été invitée à se déterminer. Par ces motifs, le juge délégué de la Cour d’appel civile du Tribunal cantonal, statuant à huis clos, en application de l'art. 312 al. 1 CPC, prononce : I. L’appel est rejeté. II. Le jugement est confirmé. III. Les frais judiciaires de deuxième instance, arrêtés à 600 fr. (six cents francs) sont mis à la charge de l'appelant D.H.________. IV. L'arrêt motivé est exécutoire. Le juge délégué : La greffière : Du</w:t>
      </w:r>
    </w:p>
    <w:p>
      <w:r>
        <w:rPr>
          <w:b/>
        </w:rPr>
        <w:t>E. 16</w:t>
      </w:r>
    </w:p>
    <w:p>
      <w:r>
        <w:t>janvier 2013 Le dispositif de l'arrêt qui précède est communiqué par écrit aux intéressés. La greffière : Du L'arrêt qui précède, dont la rédaction a été approuvée à huis clos, est notifié en expédition complète, par l'envoi de photocopies, à : ‑ Me Dan Bally (pour D.H.________), ‑ Me Gabrielle Weissbrodt (pour E.H.________).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