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345 vom 17. Mai 2013</w:t>
      </w:r>
    </w:p>
    <w:p>
      <w:r>
        <w:t>VD Tribunal cantonal, 2013-05-17, FR</w:t>
      </w:r>
    </w:p>
    <w:p>
      <w:r>
        <w:rPr>
          <w:b/>
        </w:rPr>
        <w:t xml:space="preserve">Quelle: </w:t>
      </w:r>
      <w:r>
        <w:t>https://mcp.opencaselaw.ch/entscheid/vd_findinfo_HC___2013___345</w:t>
      </w:r>
    </w:p>
    <w:p>
      <w:r>
        <w:t>FR: VD_FINDINFO HC / 2013 / 345 du 17 mai 2013</w:t>
      </w:r>
    </w:p>
    <w:p>
      <w:r>
        <w:t>IT: VD_FINDINFO HC / 2013 / 345 del 17 maggio 2013</w:t>
      </w:r>
    </w:p>
    <w:p>
      <w:pPr>
        <w:pStyle w:val="Heading2"/>
      </w:pPr>
      <w:r>
        <w:t>Regeste</w:t>
      </w:r>
    </w:p>
    <w:p>
      <w:r>
        <w:t>EXÉCUTION FORCÉE, PRESTATION{SENS GÉNÉRAL}, DISPOSITIF, INTERPRÉTATION{SENS GÉNÉRAL} | 341 al. 3 CPC (CH), 341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Interjeté en temps utile par une personne qui y a un intérêt, le recours est recevable.</w:t>
      </w:r>
    </w:p>
    <w:p>
      <w:r>
        <w:rPr>
          <w:b/>
        </w:rPr>
        <w:t>E. 2</w:t>
      </w:r>
    </w:p>
    <w:p>
      <w:r>
        <w:t>a) Saisie d’un recours contre une décision d’exécution forcée régie en première instance par la procédure sommaire (cf. art. 339 al. 2 CPC), la Chambre des recours civile statue dans une composition à trois juges (JT 2011 III 44). b) Le recours est recevable pour violation du droit (art. 320 let. a CPC) et constatation manifestement inexacte des faits (art. 320 let. b CPC). L'autorité de recours dispose d'un plein pouvoir d'examen s'agissant de la violation du droit (Spühler, in Basler Kommentar, 2010, n. 12 ad art. 319 CPC, p. 1504).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La production de pièces nouvelles en deuxième instance est prohibée (art. 326 al. 1 CPC). En l’espèce, les pièces produites par la recourante figurent déjà au dossier de première instance. Elles sont en conséquence recevables.</w:t>
      </w:r>
    </w:p>
    <w:p>
      <w:r>
        <w:rPr>
          <w:b/>
        </w:rPr>
        <w:t>E. 3</w:t>
      </w:r>
    </w:p>
    <w:p>
      <w:r>
        <w:t>La recourante soutient que la transaction du 2 mai 2011 fait obstacle à l’exécution forcée en cause en vertu du principe de l’autorité de la chose jugée, moyen qu’elle avait déjà soulevé devant la Commission de conciliation. Selon l’art. 341 CPC, le tribunal de l’exécution examine d’office le caractère exécutoire de la décision dont l’exécution est requise (al. 1) ; il fixe à la partie succombante un bref délai pour se déterminer (al. 2) ; sur le fond, la partie succombante peut uniquement alléguer que des faits s’opposant à l’exécution de la décision se sont produits après la notification de celle-ci (al. 3). Au stade de la procédure d’exécution, qui ne saurait être confondue avec une voie de remise en cause de la décision au fond, l’intimé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 Jeandin, op. cit., n. 16 ad art. 341 CPC, pp. 1332-1333). En l’espèce, la transaction du 2 mai 2011 n’est pas un fait postérieur à la décision de la Commission de conciliation du 3 octobre 2012. La recourante ne peut donc plus, vu la réglementation précitée, invoquer l’autorité de la chose jugée de cette transaction. Il lui appartenait de faire valoir ce moyen contre la proposition de décision en formant opposition.</w:t>
      </w:r>
    </w:p>
    <w:p>
      <w:r>
        <w:rPr>
          <w:b/>
        </w:rPr>
        <w:t>E. 4</w:t>
      </w:r>
    </w:p>
    <w:p>
      <w:r>
        <w:t>En conclusion le recours doit être admis, l’ordonnance annulée et la cause renvoyée au premier juge pour nouvelle décision dans le sens des considérants. Vu l’issue du litige, les frais judiciaires de deuxième instance, arrêtés à 100 fr. (art. 69 al. 1 TFJC [tarif du 28 septembre 2010 des frais judiciaires civils]), doivent être mis à la charge des intimés, solidairement entre eux (art. 106 al. 1 CPC). Les intimés verseront ainsi à la recourante la somme de 100 fr. à titre de restitution de l’avance de frais fournie par ce dernier (art. 111 al. 2 CPC). La charge des dépens est évaluée à 375 fr. (art. 3 al. 2 et 13 TDC [tarif du 23 novembre 2010 des dépens en matière civile ; RSV 270.11.6]) pour chaque partie, de sorte que, compte tenu de ce que les frais – comprenant les frais judiciaires et les dépens (art. 95 al. 1 CPC) – doivent être mis à la charge des intimés, ceux-ci verseront à la recourante la somme de 375 fr. à titre de dépens. Par ces motifs, la Chambre des recours civile du Tribunal cantonal, statuant à huis clos, prononce : I. Le recours est admis. II. L’ordonnance est annulée et la cause renvoyée au Juge de paix du district de la Broye-Vully pour nouvelle décision dans le sens des considérants. III. Les frais judiciaires de deuxième instance, arrêtés à 100 fr. (cent francs), sont mis à la charge des intimés A. et B.F.________, solidairement entre eux. IV. Les intimés A. et B.F.________, solidairement entre eux, doivent verser à la recourante Commune de G.________ la somme de 475 fr. (quatre cent septante-cinq francs) à titre de dépens de deuxième instance et de restitution d’avance de frais de deuxième instance. V.              L’arrêt motivé est exécutoire. Le président :               Le greffier : Du 21 mai 2013 Le dispositif de l'arrêt qui précède est communiqué par écrit aux intéressés. Le greffier : Du L'arrêt qui précède, dont la rédaction a été approuvée à huis clos, est notifié en expédition complète, par l'envoi de photocopies, à : ‑ M. Jean-Marc Decollogny (pour Commune de G.________), ‑ M. Christophe Savoy (pour A. et B.F.________).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