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343 vom 21. Mai 2013</w:t>
      </w:r>
    </w:p>
    <w:p>
      <w:r>
        <w:t>VD Tribunal cantonal, 2013-05-21, FR</w:t>
      </w:r>
    </w:p>
    <w:p>
      <w:r>
        <w:rPr>
          <w:b/>
        </w:rPr>
        <w:t xml:space="preserve">Quelle: </w:t>
      </w:r>
      <w:r>
        <w:t>https://mcp.opencaselaw.ch/entscheid/vd_findinfo_HC___2013___343</w:t>
      </w:r>
    </w:p>
    <w:p>
      <w:r>
        <w:t>FR: VD_FINDINFO HC / 2013 / 343 du 21 mai 2013</w:t>
      </w:r>
    </w:p>
    <w:p>
      <w:r>
        <w:t>IT: VD_FINDINFO HC / 2013 / 343 del 21 maggio 2013</w:t>
      </w:r>
    </w:p>
    <w:p>
      <w:pPr>
        <w:pStyle w:val="Heading2"/>
      </w:pPr>
      <w:r>
        <w:t>Regeste</w:t>
      </w:r>
    </w:p>
    <w:p>
      <w:r>
        <w:t>CONDITION DE RECEVABILITÉ, VICE DE FORME, RECTIFICATION{EN GÉNÉRAL} | 132 CPC (CH), 334 CPC (CH), 59 al. 2 let. c CPC (CH), 60 CPC (CH)</w:t>
      </w:r>
    </w:p>
    <w:p>
      <w:pPr>
        <w:pStyle w:val="Heading2"/>
      </w:pPr>
      <w:r>
        <w:t>Erwägungen</w:t>
      </w:r>
    </w:p>
    <w:p>
      <w:r>
        <w:rPr>
          <w:b/>
        </w:rPr>
        <w:t>E. 1</w:t>
      </w:r>
    </w:p>
    <w:p>
      <w:r>
        <w:t>Aux termes de l'art. 334 al. 3 CPC (Code de procédure civile du 19 décembre 2008; RS 272), la décision d’interprétation ou de rectification peut faire l’objet d’un recours. La voie du recours de l’art. 319 let. b ch. 1 CPC est donc ouverte. Interjeté en temps utile (art. 321 al. 2 CPC)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soutient d’abord que le premier juge n’avait pas la possibilité de procéder à une rectification d’office dans le cadre d’une procédure sommaire, cette rectification d’office ne reposant sur aucune base légale. L’art. 59 CPC prévoit que le tribunal n’entre en matière que sur les demandes et requêtes qui satisfont aux conditions de recevabilité de l’action. L’alinéa 2 de cette disposition comporte une liste non exhaustive des conditions que le tribunal doit examiner (Bohnet, CPC commenté, Bâle 2011, n. 9 ad art. 59 CPC). Le juge doit s’assurer d’office des conditions de recevabilité (art. 60 CPC), en particulier de la capacité d’être partie et d’ester en justice (art. 59 al. 2 let. c CPC). Ces dispositions figurent dans le chapitre deux du CPC intitulé « conditions de recevabilité » et s’appliquent, contrairement à ce que soutient la recourante, à tous les types de procédure, comme en attestent les termes « demandes » et « requêtes » utilisés à l’art. 59 al. 1 CPC. Le premier grief doit donc être rejeté.</w:t>
      </w:r>
    </w:p>
    <w:p>
      <w:r>
        <w:rPr>
          <w:b/>
        </w:rPr>
        <w:t>E. 4</w:t>
      </w:r>
    </w:p>
    <w:p>
      <w:r>
        <w:t>La recourante soutient ensuite que le premier juge a fait une fausse application des art. 59 et 60 CPC. Elle soutient que la décision attaquée ne consacre pas la correction d’un vice de forme (« erreur de plume »), mais relève de la qualité pour agir, dès lors que la société X.B.________SA désignée par la requérante comme partie défenderesse est une personne juridique distincte de la recourante. Alors que la qualité pour agir concerne la titularité du droit d’action, la désignation inexacte relève du vice de forme. Elle ne concerne que les erreurs rédactionnelles (Bohnet, op. cit., n. 103 ad art. 59 CPC). La désignation incomplète ou inexacte d’une partie qui ne laisse place à aucun doute peut ainsi être rectifiée (Bohnet, op. cit., n. 24 ad art. 132 CPC). L’inexactitude purement formelle peut être rectifiée lorsqu’il n’existe dans l’esprit du tribunal aucun doute raisonnable sur l’identité de cette partie, notamment lorsque son identité résulte de l’objet du litige (HohI, Procédure civile, tome lI, 2 e éd., ch. 585, pp. 117-118 ; ATF 131 I 57c. 2.3 ; ATF 114 II 335, JT 1989 I 337 c. 3a).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d’imbroglio de plusieurs procès dans un même complexe (SJ 1987 p. 22). En revanche, celui qui se trompe sur la titularité en vertu du droit matériel ne peut rectifier la désignation de sa partie adverse (Schwander, in Sutter-Somm/Hasenbôhler/Leuenberger, ZPO-Komm., 2 e éd., n. 14 ad art. 83 CPC). En l’espèce, c’est à juste titre que le premier juge a considéré qu’il n’existait aucun doute possible sur l’identité de la partie, dès lors que les conclusions de la requête en inscription provisoire d’une hypothèque légale ne pouvaient être dirigées que contre le propriétaire de l’immeuble inscrit au Registre foncier. Or, la pièce 4 produite par l’intimée à l’appui de sa requête montre que c’est bien la recourante qui est ce propriétaire. Comme on l’a vu, une erreur de plume peut être admise lorsque deux sociétés d’un même groupe portent des noms voisins. Manifestement, c’est à la suite d’une telle erreur que l’intimée a désigné la défenderesse comme étant la société X.B.________SA, au lieu de la société X.A.________SA et non pas d’une erreur sur la titularité résultant du droit matériel. L’erreur de H.________SA est d’autant plus excusable que c’est la société X.B.________SA et non X.A.________SA qui, par lettre du 2 novembre 2012, s’est plainte auprès de H.________SA de la gestion financière de l’entreprise générale en relation avec son chantier à Oron, le maître d’ouvrage étant du reste désigné dans cette correspondance sous le vocable « X.________ », sans autre spécification. Contrairement enfin à ce que soutient encore la recourante, le fait que la défenderesse désignée à tort par l’intimée corresponde à une personne juridique distincte et inscrite au Registre du commerce n’y change rien, dès lors que l’erreur réside justement dans la similitude des raisons sociales.</w:t>
      </w:r>
    </w:p>
    <w:p>
      <w:r>
        <w:rPr>
          <w:b/>
        </w:rPr>
        <w:t>E. 5</w:t>
      </w:r>
    </w:p>
    <w:p>
      <w:r>
        <w:t>En conclusion, le recours doit être rejeté et le prononcé confirmé. Les frais judicaires de deuxième instance, arrêtés à 900 fr. (art. 69 al. 1 et 70 al. 2 TFJC [Tarif des frais judiciaires civils du 28 septembre 2010; RSV 270.11.5]), doivent être mis à la charge de la recourante, qui succombe (art. 106 al. 1 CPC).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arrêtés à 900 fr. (neuf cents francs), sont mis à la charge de la recourante X.A.________SA. IV. L’arrêt motivé est exécutoire. Le président :               Le greffier : Du 22 mai 2013 Le dispositif de l'arrêt qui précède est communiqué par écrit aux intéressés. Le greffier : Du L'arrêt qui précède, dont la rédaction a été approuvée à huis clos, est notifié en expédition complète, par l'envoi de photocopies, à : ‑ Me Daniel Pache (pour X.A.________SA), ‑ Me Sarah El-Abshihy (pour H.________SA). La Chambre des recours civile considère que la valeur litigieuse est de 117'977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