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333 vom 16. Mai 2013</w:t>
      </w:r>
    </w:p>
    <w:p>
      <w:r>
        <w:t>VD Tribunal cantonal, 2013-05-16, FR</w:t>
      </w:r>
    </w:p>
    <w:p>
      <w:r>
        <w:rPr>
          <w:b/>
        </w:rPr>
        <w:t xml:space="preserve">Quelle: </w:t>
      </w:r>
      <w:r>
        <w:t>https://mcp.opencaselaw.ch/entscheid/vd_findinfo_HC___2013___333</w:t>
      </w:r>
    </w:p>
    <w:p>
      <w:r>
        <w:t>FR: VD_FINDINFO HC / 2013 / 333 du 16 mai 2013</w:t>
      </w:r>
    </w:p>
    <w:p>
      <w:r>
        <w:t>IT: VD_FINDINFO HC / 2013 / 333 del 16 maggio 2013</w:t>
      </w:r>
    </w:p>
    <w:p>
      <w:pPr>
        <w:pStyle w:val="Heading2"/>
      </w:pPr>
      <w:r>
        <w:t>Regeste</w:t>
      </w:r>
    </w:p>
    <w:p>
      <w:r>
        <w:t>PROTECTION DE L'UNION CONJUGALE, MODIFICATION DES CIRCONSTANCES, OBLIGATION D'ENTRETIEN | 179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dans un litige dont la valeur litigieuse calculée selon l'art. 92 al. 2 CPC dépasse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L’appelante conteste la charge de 1'523 fr. qu’allègue payer l’intimé à titre de loyer et qui a été retenue dans la décision de première instance. Elle fait valoir que, quoi qu’il en soit les circonstances n’ont pas changé depuis l’ordonnance de mesures protectrices de l’union conjugale rendue le 6 juillet 2012 par le premier juge, de sorte que la contribution d’entretien fixée alors à 800 fr. doit être maintenue.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aI. 1, 1 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 1 du 8 mars 2012 c. 4.1.2 et réf. ; TF 5A_81 1/2012 du 18 février 2013 c. 3.2 et réf.). La modification d’une contribution à l’entretien d’un époux qui a été fixée dans le cadre d’une requête de mesures protectrices de l’union conjugale est donc soumise à l’art. 179 CC, qui permet à chaque époux de solliciter la modification des mesures protectrices de l’union conjugale si, depuis l’entrée en vigueur de celles-ci, les circonstances ont changé d’une manière essentielle et durable (Chaix, in : Pichonnaz/Foëx (éd.), Commentaire romand, Code civil I, 2010, n. 11 ad art. 173 CC et n. 4 ad art. 179 CC) ou lorsque le juge a ignoré des éléments essentiels ou a mal apprécié les circonstances d’une manière caractérisée (Chaix, op. cit, n. 5 ad art. 179 CC). b) En l’espèce, il n’existe aucune circonstance justifiant de modifier l’ordonnance de mesures protectrices de l’union conjugale rendue le 6 juillet 2012 et confirmée par arrêt du 4 septembre 2012 de la Cour d’appel civile, le juge ayant tenu compte du loyer de l’intimé dans des proportions correctes, dès lors que ce dernier exerce son droit de visite sans que les enfants ne passent la nuit chez lui (ordonnance attaquée, p. 37, ch. 4). Les circonstances concernant les modalités d’exercice du droit de visite n’ont ainsi pas changé depuis l’ordonnance du 6 juillet 2012. Il est donc justifié de prendre en considération le montant du loyer pour une chambre meublée. A supposer même que le montant retenu dans l’ordonnance du 6 juillet 2012, soit 400 fr., est insuffisant, il résulte de l’arrêt du 4 septembre 2012, que le disponible de l’intimé est encore de 796 fr. 25 avec un loyer de 601 francs. Il est donc exclu de prendre en compte le loyer prétendument payé par ce dernier pour un trois pièces, dont le montant est sans commune mesure avec son salaire et qui n’est aucunement justifié par l’exercice du droit de visite. D’ailleurs, les pièces produites par l’intimé lors de l’audience de mesures protectrices de l’union conjugale du 15 mars 2013 ne permettent en rien d’attester que celui-ci occupe seul ce logement et assume de ce fait entièrement cette charge de loyer. Il est même douteux que tel soit le cas, alors qu’il n’apparaît pas sur le bail. Dans la mesure où la situation financière des parties n’a pas évolué en ce qui concerne les autres charges et revenus des parties, il n’y a pas lieu d’y revenir et on s’en tiendra à ce qui avait été retenu dans le cadre de l’ordonnance de mesures protectrices de l’union conjugale du 6 juillet 2012. Par conséquent, les griefs de l’appelante sont bien fondés et les conclusions de l’intimé tendant à la suppression de la contribution d’entretien en faveur des siens auraient dû être rejetées par le premier juge, en l’absence de faits nouveaux.</w:t>
      </w:r>
    </w:p>
    <w:p>
      <w:r>
        <w:rPr>
          <w:b/>
        </w:rPr>
        <w:t>E. 4</w:t>
      </w:r>
    </w:p>
    <w:p>
      <w:r>
        <w:t>Au vu de ce qui précède, l’appel doit être admis et le chiffre III du dispositif de l’ordonnance supprimé, la contribution d’entretien étant due selon l’ordonnance du 6 juillet 2012. Les frais judiciaires de deuxième instance, arrêtés à 600 fr. (art. 65 al. 2 TFJC [tarif des frais judiciaires civils du 28 septembre 2010; RSV 270.11.5]) pour l’intimé, doivent être laissés à la charge de l’Etat dès lors qu’ils ne peuvent être mis à la charge de l’intimé qui plaide au bénéfice de l’assistance judiciaire (art. 122 al. 1 let. b CPC). Celui-ci versera en revanche à l’appelante une indemnité de 1'000 fr. à titre de dépens de deuxième instance (art. 3 al. 2 TDC [Tarif des dépens en matière civile du 23 novembre 2010, RSV 270.11.6] ; art. 122 al. 1 let. d CPC). L'indemnité d'office de Me Carole Wahlen, conseil de l'appelante, est arrêtée à 907 fr. 20, TVA comprise, pour la procédure de deuxième instance, montant correspondant à 4,5 heures de travail rémunérées au tarif horaire de 180 fr., auquel s'ajoute le montant de 30 fr., TVA en sus, allégué à titre de débours. Le conseil d’office de l’intimé, Me Raphaël Tatti, a produit sa liste des opérations, dont il ressort qu’il a consacré 4 heures à la procédure d’appel, ce qui paraît adéquat au vu de la nature et des difficultés de la cause. L'indemnité d'office de Me Tatti sera donc arrêtée à 813 fr. 25, TVA comprise, ce montant comprenant le remboursement des débours allégués, par 33 fr., TVA en sus. Les bénéficiaires de l'assistance judiciaire sont, dans la mesure de l'art. 123 CPC, tenus au remboursement des frais judiciaires et de l'indemnité de leur conseil d'office mis à la charge de l'Etat. Par ces motifs, le juge délégué de la Cour d’appel civile du Tribunal cantonal, statuant à huis clos, prononce : I. L’appel est admis. II. L’ordonnance est réformée en ce sens que le chiffre III de son dispositif est supprimé. III. Les frais judiciaires de deuxième instance, arrêtés à 600 fr. (six cents francs) pour l’intimé, sont laissés à la charge de l’Etat. IV. L’intimé I.________ doit verser à l’appelante X.________ la somme de 1'000 fr. (mille francs) à titre de dépens de deuxième instance. V. L’indemnité d’office de Me Carole Wahlen, conseil d’office de l’appelante, est arrêtée à 907 fr. 20 (neuf cent sept francs et vingt centimes), TVA et débours compris. VI . L’indemnité d’office de Me Raphaël Tatti, conseil d’office de l’intimé, est arrêtée à 813 fr. 25 (huit cent treize francs et vingt-cinq centimes), TVA et débours compris. VII. Les bénéficiaires de l’assistance judiciaire sont, dans la mesure de l’art. 123 CPC, tenus au remboursement des frais judiciaires et de l’indemnité de leur conseil d’office mis à la charge de l’Etat. VIII. L’arrêt motivé est exécutoire. Le juge délégué : Le greffier : Du 17 mai 2013 Le dispositif de l'arrêt qui précède est communiqué par écrit aux intéressés. Le greffier : Du L'arrêt qui précède, dont la rédaction a été approuvée à huis clos, est notifié en expédition complète, par l'envoi de photocopies à : ‑ Me Carole Wahlen (pour X.________), ‑ Me Raphaël Tatti (pour I.________).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