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330 vom 5. Juni 2013</w:t>
      </w:r>
    </w:p>
    <w:p>
      <w:r>
        <w:t>VD Tribunal cantonal, 2013-06-05, FR</w:t>
      </w:r>
    </w:p>
    <w:p>
      <w:r>
        <w:rPr>
          <w:b/>
        </w:rPr>
        <w:t xml:space="preserve">Quelle: </w:t>
      </w:r>
      <w:r>
        <w:t>https://mcp.opencaselaw.ch/entscheid/vd_findinfo_HC___2013___330</w:t>
      </w:r>
    </w:p>
    <w:p>
      <w:r>
        <w:t>FR: VD_FINDINFO HC / 2013 / 330 du 5 juin 2013</w:t>
      </w:r>
    </w:p>
    <w:p>
      <w:r>
        <w:t>IT: VD_FINDINFO HC / 2013 / 330 del 5 giugno 2013</w:t>
      </w:r>
    </w:p>
    <w:p>
      <w:pPr>
        <w:pStyle w:val="Heading2"/>
      </w:pPr>
      <w:r>
        <w:t>Regeste</w:t>
      </w:r>
    </w:p>
    <w:p>
      <w:r>
        <w:t>PROPRIÉTÉ PAR ÉTAGES, GÉRANT{SENS GÉNÉRAL}, RESPONSABILITÉ CONTRACTUELLE, COMMUNAUTÉ DES COPROPRIÉTAIRES D'ÉTAGES, PROPRIÉTAIRE | 712q CC, 394 CO, 398 CO</w:t>
      </w:r>
    </w:p>
    <w:p>
      <w:pPr>
        <w:pStyle w:val="Heading2"/>
      </w:pPr>
      <w:r>
        <w:t>Erwägungen</w:t>
      </w:r>
    </w:p>
    <w:p>
      <w:r>
        <w:rPr>
          <w:b/>
        </w:rPr>
        <w:t>E. 1</w:t>
      </w:r>
    </w:p>
    <w:p>
      <w:r>
        <w:t>L’appel est recevable contre les décisions finales de première instance (art. 308 al. 1 let. a CPC [Code de procédure civile du 19 décembre 2010 ; RS 272]), dans les affaires patrimoniales dont la valeur litigieuse, au dernier état des conclusions devant le tribunal de première instance, est supérieure à 10'000 fr. (art. 308 al. 2 CPC). Le délai pour l’introduction de l’appel est de trente jours à compter de la notification de la décision motivée (art. 311 al. 1 CPC). En l'espèce, formé en temps utile par des parties qui y ont intérêt (art. 59 al. 2 let. a CPC) et portant sur des conclusions supérieures à 10'000 fr., l’appel est recevable.</w:t>
      </w:r>
    </w:p>
    <w:p>
      <w:r>
        <w:rPr>
          <w:b/>
        </w:rPr>
        <w:t>E. 2</w:t>
      </w:r>
    </w:p>
    <w:p>
      <w:r>
        <w:t>a)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2ème éd., Berne 2010, n. 2399). L'autorité d'appel applique le droit d'office: elle n'est pas liée par les motifs invoqués par les parties ou par le tribunal de première instance (HohI, op. cit., n. 2396, p. 435 ;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(JT 2011 III 43 et réf. citées). En l'espèce, les appelants ont produit un courrier de la V.______Assurances du 18 mars 2006, ainsi qu'un commandement de payer notifié le 22 décembre 2010 à l'intimée. Ces pièces auraient pu être produites en première instance déjà de sorte qu'elles sont irrecevables. Quant au document intitulé "La « SIA 118 » pour les non-initiés" du Professeur Blaise Carron ( Journées suisses du droit de la construction, Fribourg 2007), il ne s’agit pas d’une pièce nouvelle à proprement parler, mais d'une contribution accessible à tout un chacun, dont la recevabilité n’est pas soumise aux conditions de l’art. 317 al. 1 CPC. c) Les appelants soulèvent les griefs d'appréciation arbitraire des preuves et de formalisme excessif sur divers points. Ces moyens seront examinés dans le cadre de la discussion en droit ci-dessous, les griefs en fait et en droit de l'appel étant eux-mêmes étroitement liés.</w:t>
      </w:r>
    </w:p>
    <w:p>
      <w:r>
        <w:rPr>
          <w:b/>
        </w:rPr>
        <w:t>E. 3</w:t>
      </w:r>
    </w:p>
    <w:p>
      <w:r>
        <w:t>e éd., Zürich 2009, n. 357, p. 92). L'administrateur et la communauté des propriétaires d'étages sont liés par une relation contractuelle, à savoir un contrat de gérance d'immeuble, par lequel le gérant s'engage envers le propriétaire ou le bailleur à assumer tous les services nécessaires à la gestion d'un immeuble. Comme le contrat de gérance d'immeubles ne réalise pas les éléments caractéristiques de l'un des contrats prévus dans le Code des obligations et porte sur des prestations de travail, il doit être qualifié de mandat ou de contrat sui generis soumis aux règles du mandat conformément à l'art. 394 al. 2 CO (Code des obligations du 30 mars 1911, RS 220) (TF 4C.118/2006 du 11 juillet 2006 c. 2 ; ATF 106 II 157 c. 2b ; Wermelinger, op. cit, n. 101 ad art. 712q CO ; Bösch, Basler Kommentar, Bâle 2007, n. 14 ad art. 712q CC). Dans le cadre d'une copropriété par étages, les partenaires contractuels sont l'administrateur et la communauté des propriétaires d'étages, à laquelle le législateur a accordé une capacité restreinte pour l'acquisition de droits et d'obligations (art. 712l CC). Cette capacité est restreinte dans la mesure où elle n'existe que pour les questions relevant de la gestion de la sphère commune de l'immeuble (Wermelinger, op. cit. n. 4 ad art. 712l CC ; Fellmann, Der Verwalter und seine zivilrechtliche Verantwortung, in Luzerner Tag des Stockwerkeigentums 2012, Berne 2012, pp. 138-139 ; Bösch, op. cit., n. 13 ad art. 712q CC). bb) Le mandataire est responsable envers le mandant de la bonne et fidèle exécution du mandat (art. 398 al. 2 CO). Sa responsabilité est soumise, d'une manière générale, aux mêmes règles que celles du travailleur dans les rapports de travail (art. 398 al. 1 CO). Il doit donc exécuter avec soin la tâche qui lui est confiée et sauvegarder fidèlement les intérêts légitimes de son cocontractant (art. 321a al. 1 CO). Dès lors que le contrat lie la communauté des propriétaires d'étages à l'administrateur, celui-ci encourt une responsabilité contractuelle uniquement à l'encontre de la communauté, à l'exclusion notamment des propriétaires d'étages individuels (Wermelinger, op. cit., n. 142 ad art. 712q CO ; Fellmann, op. cit., pp. 138-139 ; Magnenat, La Propriété par Etage, Lausanne 1965, p. 117) ; tel est le cas même lorsqu'une violation contractuelle n'a de conséquence qu'envers un seul propriétaire d'étage (Wermelinger, Zürcher Kommentar, Zürich 2010, n. 179 ad art. 712q CO). c) En l'espèce, lors de l'assemblée du 20 janvier 2006, la communauté des propriétaires d'étages a choisi de confier l'administration de la PPE à l'intimée. Les parties au contrat étaient donc la communauté des copropriétaires, en qualité de mandant, et l'intimée, en qualité de mandataire. Les demandeurs, bien que faisant partie de la communauté des copropriétaires, n'étaient en tant que tels pas parties au contrat, de sorte qu'ils ne peuvent faire valoir aucune prétention découlant d'une mauvaise exécution du mandat, la responsabilité de l'administrateur envers un propriétaire d'étage individuel étant exclue. Vu l'absence de relation contractuelle, le moyen des appelants ne peut qu'être rejeté. Au demeurant, à supposer que les appelants aient été liés à l'intimée par un contrat, il y a lieu de relever que, contrairement à ce qu'ils soutiennent, il ne ressort aucunement du procès-verbal de l'assemblée du 20 janvier 2006 que les copropriétaires voulaient se prémunir d'urgence contre les dégâts d'eau, la question d'une assurance couvrant de tels dégâts étant uniquement mentionnée parmi d'autres points au chiffre 9 de l'ordre du jour intitulé "Divers points relatifs administratifs (sic) pour l'exécution des tâches initiales de l'administrateur: ouverture de comptes bancaires, assurances collectives (par exemple feu, vol, RC, bris de glace, dégâts d'eau, tremblement de terre), conciergerie)". En outre, le traitement de cette question a été reporté à l'assemblée suivante qui s'est déroulée deux mois plus tard. Dès lors, quand bien même l'intimée avait reçu une copie de ce procès-verbal suite à sa désignation en tant qu'administratrice, on ne peut en déduire qu'elle avait pour charge expresse de souscrire une assurance privée, ce d'autant que cette question n'avait pas été reprise à l'ordre du jour de l'assemble générale du 22 mars 2006 à laquelle elle avait participé. Par surabondance, l'intimée n'a pas violé son devoir de diligence envers la communauté des propriétaires d'étages puisque le dommage subi par les appelants devait être supporté par l'entreprise E._______SA qui avait mal exécuté les travaux. Celle-ci a d'ailleurs été condamnée à réparer le dommage des appelants par jugement du Président du Tribunal civil de l'arrondissement de la Côte du 22 avril 2009. La faillite de cette entreprise qui est intervenue en 2010, soit près de quatre ans après la survenance des dégâts d'eau en question, était imprévisible pour l'intimée. Quoi qu'il en soit, la W._____Assurances n'aurait pas pris en charge ce sinistre puisque la clause DE17 du contrat souscrit postérieurement exclut les dommages causés par une construction défectueuse, ce qui était le cas en l'espèce. Il est vrai que selon l'expert [...] cette exclusion n'est pas appliquée, jusqu'à concurrence d'un dommage de 50'000 fr., par les assureurs qui ont rédigé une recommandation visant à régler ces dommages d'entente avec l'assureur responsabilité civile du responsable, en l'occurrence E._______SA. Toutefois, comme l'a retenu à juste titre le premier juge, la société E._______SA n'avait plus d'assurance responsabilité civile lorsque les dégâts d'eau sont survenus, de sorte qu'un tel arrangement n'aurait pas été possible. Enfin, les appelants ne peuvent rien déduire du fait que la W._____Assurances ait pris en charge certains frais en 2009 chez un autre copropriétaire à la suite d'une rupture sur le tuyau d'écoulement de la colonne de lavage. Rien n'indique en effet que la clause d'exclusion DE 17 du contrat aurait trouvé à s'appliquer au dégât d'eau de 2009. Cela étant, il n'est pas nécessaire de déterminer si l'assurance de travaux de construction intervient jusqu'à la réception définitive de l'ouvrage comme l'a retenu le premier juge ou seulement jusqu'à la remise des clés comme le font valoir les appelants, ni si, en ne contractant pas une assurance dégâts d'eau immédiatement à la fin des travaux, l'intimée avait violé ses obligations de mandataire. d) Les propriétaires d'étages individuels n'étant pas parties au contrat, ils ne peuvent se prévaloir que d'une responsabilité extracontractuelle découlant de l'art. 41 CO (Wermelinger, op. cit., nn. 141 et 147 ad art. 712q ; Fellmann, op. cit. , pp. 138-139). La responsabilité délictuelle prévue par l'art. 41 CO suppose que soient réalisées cumulativement les quatre conditions suivantes : un acte illicite, une faute de l'auteur, un dommage et un rapport de causalité (naturelle et adéquate) entre l'acte fautif et le dommage (ATF 132 III 122 c. 4.1, rés. in JT 2006 I 258, SJ 2006 p. 181). En l'espèce, ces conditions ne sont manifestement pas remplies et les appelants ne le prétendent d'ailleurs pas comme cela ressort de leur courrier du 19 août 2010 (cf. supra ch. 7/a). De plus, les éventuelles prétentions en découlant paraissaient prescrites lorsque les appelants ont déposé une réquisition de poursuite à l'encontre de l'intimée. e) Vu ce qui précède, l'intimée ne saurait être tenue pour responsable du dommage subi par les appelants.</w:t>
      </w:r>
    </w:p>
    <w:p>
      <w:r>
        <w:rPr>
          <w:b/>
        </w:rPr>
        <w:t>E. 4</w:t>
      </w:r>
    </w:p>
    <w:p>
      <w:r>
        <w:t>En conclusion, l'appel doit être rejeté dans la procédure de l'art. 312 al. 1 CPC et le jugement entrepris confirmé. Les frais judiciaires, arrêtés à 769 fr. (art. 62 al. 1 TFJC [tarif des frais judiciaires civils du 28 septembre 2010 ; RSV 270.11.5]), sont mis à la charge des appelants qui succombent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