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328 vom 22. Mai 2013</w:t>
      </w:r>
    </w:p>
    <w:p>
      <w:r>
        <w:t>VD Tribunal cantonal, 2013-05-22, FR</w:t>
      </w:r>
    </w:p>
    <w:p>
      <w:r>
        <w:rPr>
          <w:b/>
        </w:rPr>
        <w:t xml:space="preserve">Quelle: </w:t>
      </w:r>
      <w:r>
        <w:t>https://mcp.opencaselaw.ch/entscheid/vd_findinfo_HC___2013___328</w:t>
      </w:r>
    </w:p>
    <w:p>
      <w:r>
        <w:t>FR: VD_FINDINFO HC / 2013 / 328 du 22 mai 2013</w:t>
      </w:r>
    </w:p>
    <w:p>
      <w:r>
        <w:t>IT: VD_FINDINFO HC / 2013 / 328 del 22 maggio 2013</w:t>
      </w:r>
    </w:p>
    <w:p>
      <w:pPr>
        <w:pStyle w:val="Heading2"/>
      </w:pPr>
      <w:r>
        <w:t>Regeste</w:t>
      </w:r>
    </w:p>
    <w:p>
      <w:r>
        <w:t>EXPULSION DE LOCATAIRE, DÉLAI, DÉLAI DE RECOURS, DÉLAI FIXÉ PAR LE JUGE, DÉLAI RAISONNABLE, DÉCISION DE RENVOI | 257d CO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mal fondé, l'appel doit être rejeté dans la mesure où il est recevable, en application de la procédure de l'art. 312 al. 1 CPC, et l'ordonnance entreprise confirmée. Le présent arrêt peut être rendu sans frais. L'intimée n'ayant pas été invité à se déterminer, il n'y a pas lieu à l'allocation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