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325 vom 26. April 2013</w:t>
      </w:r>
    </w:p>
    <w:p>
      <w:r>
        <w:t>VD Tribunal cantonal, 2013-04-26, FR</w:t>
      </w:r>
    </w:p>
    <w:p>
      <w:r>
        <w:rPr>
          <w:b/>
        </w:rPr>
        <w:t xml:space="preserve">Quelle: </w:t>
      </w:r>
      <w:r>
        <w:t>https://mcp.opencaselaw.ch/entscheid/vd_findinfo_HC___2013___325</w:t>
      </w:r>
    </w:p>
    <w:p>
      <w:r>
        <w:t>FR: VD_FINDINFO HC / 2013 / 325 du 26 avril 2013</w:t>
      </w:r>
    </w:p>
    <w:p>
      <w:r>
        <w:t>IT: VD_FINDINFO HC / 2013 / 325 del 26 aprile 2013</w:t>
      </w:r>
    </w:p>
    <w:p>
      <w:pPr>
        <w:pStyle w:val="Heading2"/>
      </w:pPr>
      <w:r>
        <w:t>Regeste</w:t>
      </w:r>
    </w:p>
    <w:p>
      <w:r>
        <w:t>CONTRAT DE TRAVAIL, PRESCRIPTION, GRATIFICATION, CHOSE JUGÉE | 128 ch. 3 CO, 135 CO, 315 al. 1 CPC, 320 let. b CPC (CH)</w:t>
      </w:r>
    </w:p>
    <w:p>
      <w:pPr>
        <w:pStyle w:val="Heading2"/>
      </w:pPr>
      <w:r>
        <w:t>Erwägungen</w:t>
      </w:r>
    </w:p>
    <w:p>
      <w:r>
        <w:rPr>
          <w:b/>
        </w:rPr>
        <w:t>E. 1.1</w:t>
      </w:r>
    </w:p>
    <w:p>
      <w:r>
        <w:t>Le jugement attaqué ayant été rendu et communiqué après le 1er janvier 2011, les voies de droit sont régies par le Code de procédure civile du 19 décembre 2008 (ci-après: CPC; RS 272), conformément à l'art. 405 al. 1 CPC. Selon la jurisprudence du Tribunal fédéral, toutes les décisions de première instance communiquées en 2011 – et non seulement les décisions finales – sont soumises aux voies de droit du nouveau droit, même lorsqu'elles ont été rendues dans le cadre d'une procédure qui se poursuit selon l'ancien droit en vertu de l'art. 404 al. 1 CPC (ATF 137 III 424 c. 2.3).</w:t>
      </w:r>
    </w:p>
    <w:p>
      <w:r>
        <w:rPr>
          <w:b/>
        </w:rPr>
        <w:t>E. 1.2</w:t>
      </w:r>
    </w:p>
    <w:p>
      <w:r>
        <w:t>Selon l'art. 319 al. 1 let. a CPC, le recours est recevable contre les décisions finales qui ne peuvent faire l'objet d'un appel. Aux termes de l'art. 308 al. 2 CPC, dans les causes patrimoniales, l'appel est recevable si la valeur litigieuse au dernier état des conclusions est de 10'000 fr. au moins. En l’espèce, la valeur litigieuse étant inférieure à ce montant (les conclusions ont été réduites à 8'136 fr. 70 en première instance), c’est la voie du recours qui est ouverte, en dépit du libellé de l’acte déposé.</w:t>
      </w:r>
    </w:p>
    <w:p>
      <w:r>
        <w:rPr>
          <w:b/>
        </w:rPr>
        <w:t>E. 1.3</w:t>
      </w:r>
    </w:p>
    <w:p>
      <w:r>
        <w:t>Le recours, écrit et motivé, est introduit auprès de l'instance de recours,  soit la Chambre des recours civile du canton de Vaud (art. 73 al. 1 LOJV [Loi d'organisation judiciaire du 12 décembre 1979; RSV 173.01), dans les trente jours à compter de la notification de la décision motivée ou de la notification postérieure de la motivation (art. 321 al. 1 CPC; CREC 21 juin 2012/230 c.1.2). Formé en temps utile par une partie qui y a intérêt, le présent recours est recevable à la forme.</w:t>
      </w:r>
    </w:p>
    <w:p>
      <w:r>
        <w:rPr>
          <w:b/>
        </w:rPr>
        <w:t>E. 2.1</w:t>
      </w:r>
    </w:p>
    <w:p>
      <w:r>
        <w:t>Le recours est recevable pour violation du droit et constatation manifestement inexacte des faits (art. 320 CPC).</w:t>
      </w:r>
    </w:p>
    <w:p>
      <w:r>
        <w:rPr>
          <w:b/>
        </w:rPr>
        <w:t>E. 2.2</w:t>
      </w:r>
    </w:p>
    <w:p>
      <w:r>
        <w:t>S'agissant de la violation du droit, l'autorité de recours dispose d'un plein pouvoir d'examen (Spühler, Basler Kommentar, Schweizerische Zivilprozessordnung, Bâle 2010, n. 12 ad art. 319 CPC, p. 1504); elle revoit librement les questions de droit soulevées par le recourant et peut substituer ses propres motifs à ceux de l'autorité précédente ou du recourant (Hohl, Procédure civile, Tome II, 2 e éd., Berne 2010, n. 2508, p. 452).</w:t>
      </w:r>
    </w:p>
    <w:p>
      <w:r>
        <w:rPr>
          <w:b/>
        </w:rPr>
        <w:t>E. 2.3</w:t>
      </w:r>
    </w:p>
    <w:p>
      <w:r>
        <w:t>S'agissant de la constatation manifestement inexacte des faits, ce grief, comme pour l'art. 97 al. 1 LTF (Loi du 17 juin 2005 sur le Tribunal fédéral ; RS 173.110), ne permet que de corriger une erreur évidente, la notion se recoupant en définitive avec l'appréciation arbitraire des preuves (Corboz et alii, Commentaire de la LTF, Berne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3.1</w:t>
      </w:r>
    </w:p>
    <w:p>
      <w:r>
        <w:t>La recourante reproche aux premiers juges, d’une part, d’avoir appliqué de manière erronée les dispositions relatives à la prescription des créances ainsi que celles ayant trait à la notification des jugements et au relief, celui-ci tel que prévu par l’ancien droit de procédure civile vaudois. D’autre part, elle leur fait grief d’avoir statué en tombant dans l’arbitraire.</w:t>
      </w:r>
    </w:p>
    <w:p>
      <w:r>
        <w:rPr>
          <w:b/>
        </w:rPr>
        <w:t>E. 3.2</w:t>
      </w:r>
    </w:p>
    <w:p>
      <w:r>
        <w:t>En vertu de l'art. 128 ch. 3 CO, les actions des travailleurs pour leurs services se prescrivent par cinq ans. La prescription court dès que la créance est devenue exigible (art. 130 al. 1 CO). Elle est interrompue lorsque le créancier fait valoir ses droits par des poursuites, par une action ou une exception devant un tribunal ou des arbitres, par une intervention dans une faillite ou par une citation en conciliation (art. 135 ch. 2 CO). Selon l’art. 137 al. 1 CO, un nouveau délai commence à courir dès l’interruption; si la dette a été reconnue dans un titre ou constatée par un jugement, le nouveau délai de prescription est toujours de dix ans (art. 137 al. 2 CO).  Pour que ce nouveau délai soit applicable, la dette doit avoir été constatée par un jugement ayant force de chose jugée et dont le dispositif reconnaît l’existence d’une créance en faveur d’un créancier (Pichonnaz, Commentaire romand CO I, Bâle 2012, n. 4 ad art. 137 al. 2 CO, p. 1048). Un  jugement provisoire fondé sur la seule vraisemblance de l’existence de la créance, un jugement soumis à la procédure sommaire ou encore dont l’effet obligatoire n’est lié qu’à une poursuite déterminée, ne remplit pas les conditions de l’art. 137 al. 2 CO (Pichonnaz, op. cit., n. 5 ad art. 137 al. 2 CO, p. 1048). La force de chose jugée formelle s’acquiert lorsque le jugement ne peut plus être attaqué par une voie de recours ordinaire et implique en principe la force exécutoire (Hohl, Procédure civile, Berne 2001, tome I, n. 1269, p. 241, et n. 1282, p. 242). Or, la demande de relief a pour effet d’annuler de plein droit le jugement par défaut et de replacer les parties dans la situation où elles se trouvaient avant l’audience. En droit vaudois, le jugement par défaut ne devient exécutoire qu’à l’expiration du délai légal pour demander le relief sans qu’une demande pour de relief ait été présenté (art. 315 al. 1 aCPC-VD). Enfin, selon l’art. 138 al. 1 CO, dans sa teneur antérieure à la modification résultant de l’entrée en vigueur le 1 er janvier 2011 du CPC, la prescription interrompue par l’effet d’une action ou d’une exception recommence à courir, durant l’instance, à compter de chaque acte judiciaires des parties et de chaque ordonnance ou décision du juge. 3.3.1 En l’espèce, le contrat de travail des parties est venu à échéance le 31 décembre 2001. La travailleuse a ouvert action contre l’employeuse le 30 octobre 2002 et une citation à comparaître à l’audience du Tribunal de prud’hommes a été notifiée par voie édictale à l’employeuse, qui avait quitté la Suisse en juillet 2001. La question de l’interruption de la prescription peut demeurer indécise puisque le jugement rendu par défaut le 21 mars 2003 n’est pas devenu exécutoire, ayant été mis à néant par jugement de relief du 6 octobre 2011. A ce moment-là en effet, dans l’hypothèse où la prescription aurait été interrompue par l’ouverture d’action en vertu de l’art. 135 ch. 2 CO et qu’un nouveau délai de cinq ans aurait commencé à courir dès le jugement du 21 mars 2003 en vertu de l’art. 138 al. 1 CO, ce délai serait venu à échéance bien avant 2011. 3.3.2 Les premiers juges ont considéré qu’une dette de l’employeuse avait été constatée par le jugement par défaut du 21 mars 2003 et que, conformément à l’art. 137 al. 2 CO, il en était résulté un nouveau délai de prescription de dix ans. Un tel point de vue serait fondé si ce jugement avait acquis force de chose jugée. Si celle-ci peut être attribuée à un jugement par défaut et entraîner l’application de l’art. 137 al. 2 CO (Berti, Zürcher Kommentar, n. 22 ad art. 137 CO; Däppen, Basler Kommentar, n.</w:t>
      </w:r>
    </w:p>
    <w:p>
      <w:r>
        <w:rPr>
          <w:b/>
        </w:rPr>
        <w:t>E. 4</w:t>
      </w:r>
    </w:p>
    <w:p>
      <w:r>
        <w:t>A supposer que les prétentions de l’intimée ne soient pas prescrites, elles doivent être rejetés pour les motifs qui suivent.</w:t>
      </w:r>
    </w:p>
    <w:p>
      <w:r>
        <w:rPr>
          <w:b/>
        </w:rPr>
        <w:t>E. 4.1</w:t>
      </w:r>
    </w:p>
    <w:p>
      <w:r>
        <w:t>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4.2.1 Les premiers juges ont considéré que la travailleuse avait droit à une gratification pour 2011, d’un montant de 2'766 fr. 70, pour avoir perçu à ce titre 600 fr. en 1998, calculé cette année-là pro rata temporis, 2'157 fr. 40 en 1999 et 2’750 fr. en 2000. Durant ces trois années, l’employeuse s’était abstenue de se référer à l’art. 5.2 du règlement de travail annexé au contrat, selon lequel le versement d’une gratification était subordonné à la réalisation de certaines conditions, notamment l’atteinte d’un objectif en matière de chiffre d’affaires. Elle ne pouvait dès lors plus s’en prévaloir pour faire échec à la prétention de la travailleuse. 4.2.2 En l’espèce, on ignore tout du mode de calcul des gratifications accordées et on ne saurait par conséquent affirmer que la recourante s’est écartée du contrat pour les fixer, encore moins qu’elle aurait ainsi implicitement renoncé de manière générale à l’application du règlement de travail. On constate ainsi que le contrat de travail faisait de la gratification une prestation non garantie; qu’elle ait été fournie durant une certaine période ne permettait pas de créer une obligation de la recourante, ce d’autant que cette période était inférieure à celle de trois ans généralement exigée (Wyler, Droit du travail, Berne 2008, p. 167). Par ailleurs, le témoin [...], qui a travaillé pour la recourante depuis septembre 1998 jusqu’au 31 décembre 2001, n’a pour sa part touché durant cette période qu’une seule fois une prime de 250 francs. Quant à [...], qui était employée à la boutique en même temps que l’intimée, elle n’a pas non plus perçu quoi que ce soit en sus de son salaire mensuel. Enfin [...], qui s’occupait en particulier du versement des salaires des employées, a soutenu qu’aucune d’elles ne percevait de gratification, que son programme d’ordinateur ne comportait pas cette rubrique et qu’il ne lui appartenait pas, sauf à rédiger une note manuscrite, de le modifier. Il s’ensuit que le raisonnement des premiers juges, qui ont estimé que l’intimée avait prouvé à satisfaction de droit la réalité des versements de la gratification, ne peut pas être suivi. 4.3.1 Les premiers juges ont encore considéré qu’à la fin du contrat, la demanderesse avait un solde de vacances de deux semaines qu’elle avait été empêchée de prendre dans la mesure où, du 10 décembre au 31 décembre 2001, elle s’était trouvée en incapacité de travailler, et qu’une indemnité de 1'400 fr. devait lui être allouée à ce titre. 4.3.2 Appelée à témoigner sur ce point, [...], qui tenait le décompte des vacances de chaque employée, est partie du principe que I.________ avait pris toutes ses vacances car elle avait quitté la boutique et n’était pas revenue, le personnel ne prenant pas de vacances en décembre. [...] a de son côté affirmé que lorsque M. [...] avait repris les boutiques, Y.________ ne lui devait plus rien, ni sur le plan des vacances, ni sur celui des congé et des heures supplémentaires, tout étant à jour. L’intimée s’est bornée à déclarer qu’elle n’avait pas pris ses vacances. En donnant suite aux assertions non prouvées de l’intimée, les premiers juges ont abusé de leur pouvoir d’appréciation et il y a lieu d’admettre, avec la recourante, qu’un tel solde n’est pas établi.</w:t>
      </w:r>
    </w:p>
    <w:p>
      <w:r>
        <w:rPr>
          <w:b/>
        </w:rPr>
        <w:t>E. 5</w:t>
      </w:r>
    </w:p>
    <w:p>
      <w:r>
        <w:t>Au vu de ce qui précède, le recours doit être admis et le jugement querellé réformé dans le sens des considérants qui précèdent. S’agissant d’un litige en droit du travail dont la valeur litigieuse n’excède pas 30'000 fr., l’arrêt est rendu sans frais de deuxième instance (art. 114 let. C CPC). Vu le sort de la cause, la recourante a droit à des dépens arrêtés à   700 fr. (art. 8 TDC [tarif des dépens en matière civils en matière civile du 23 décembre 2010 ; RSV 270.11.6). Par ces motifs, la Chambre des recours civile du Tribunal cantonal, statuant à huis clos, prononce : I.              Le recours est admis. II.              Le jugement est réformé au chiffre I de son dispositif en ce sens que les conclusions de I.________ sont rejetées. Le jugement est confirmé pour le surplus. III.              L’arrêt est rendu sans frais. IV.              L’intimée I.________ doit verser à la recourante Y.________ la somme de 700 fr. (sept cents francs) à titre de dépens de deuxième instance. V.              L’arrêt motivé est exécutoire. Le président :               Le greffier : Du 26 avril 2013 Le dispositif de l'arrêt qui précède est communiqué par écrit aux intéressés. Le greffier : Du L'arrêt qui précède, dont la rédaction a été approuvée à huis clos, est notifié en expédition complète, par l'envoi de photocopies, à : ‑ Me Flore Primault (pour Y.________), ‑ Me Joël Crettaz (pour I.________). La Chambre des recours civile considère que la valeur litigieuse est de 4’166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de prud’hommes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