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322 vom 2. Mai 2013</w:t>
      </w:r>
    </w:p>
    <w:p>
      <w:r>
        <w:t>VD Tribunal cantonal, 2013-05-02, FR</w:t>
      </w:r>
    </w:p>
    <w:p>
      <w:r>
        <w:rPr>
          <w:b/>
        </w:rPr>
        <w:t xml:space="preserve">Quelle: </w:t>
      </w:r>
      <w:r>
        <w:t>https://mcp.opencaselaw.ch/entscheid/vd_findinfo_HC___2013___322</w:t>
      </w:r>
    </w:p>
    <w:p>
      <w:r>
        <w:t>FR: VD_FINDINFO HC / 2013 / 322 du 2 mai 2013</w:t>
      </w:r>
    </w:p>
    <w:p>
      <w:r>
        <w:t>IT: VD_FINDINFO HC / 2013 / 322 del 2 maggio 2013</w:t>
      </w:r>
    </w:p>
    <w:p>
      <w:pPr>
        <w:pStyle w:val="Heading2"/>
      </w:pPr>
      <w:r>
        <w:t>Regeste</w:t>
      </w:r>
    </w:p>
    <w:p>
      <w:r>
        <w:t>AVOCAT, CHAMBRE DES AVOCATS, DÉNONCIATION{EN GÉNÉRAL}, PROCÉDURE DISCIPLINAIRE | 15 al. 1 LPAv, 76 LPA-VD, 79 LPA-VD</w:t>
      </w:r>
    </w:p>
    <w:p>
      <w:pPr>
        <w:pStyle w:val="Heading2"/>
      </w:pPr>
      <w:r>
        <w:t>Erwägungen</w:t>
      </w:r>
    </w:p>
    <w:p>
      <w:r>
        <w:rPr>
          <w:b/>
        </w:rPr>
        <w:t>E. 1</w:t>
      </w:r>
    </w:p>
    <w:p>
      <w:r>
        <w:t>Conformément à l'art. 14 LPav (loi sur la profession d'avocat du 24 septembre 2002; RSV 177.11), le Tribunal cantonal connaît des recours contre les décisions de la Chambre ou de son président. Le délai de recours est de trente jours dès la communication ou la notification de la décision litigieuse. Le recours est exercé et instruit conformément à la loi sur la procédure administrative (art. 15 al. 1 LPav). Il est de la compétence de la Chambre des recours civile (art. 73 al. 2 LOJV [loi d'organisation judiciaire du 12 décembre 1979; RSV 173.01]). Le recours, déposé le 9 mars 2013, l'a été en temps utile. Il est recevable en la forme.</w:t>
      </w:r>
    </w:p>
    <w:p>
      <w:r>
        <w:rPr>
          <w:b/>
        </w:rPr>
        <w:t>E. 2</w:t>
      </w:r>
    </w:p>
    <w:p>
      <w:r>
        <w:t>Le recourant demande à ce que "plaise à la Chambre des recours civile de délibérer en audience publique le bien fondé de ma dénonciation contre les agissements professionnels de Me C.________, rejeter la décision du Président de la Chambre des avocats (qui confirme celle de l'Ordre des avocats vaudois), et appeler Me C.________ aux dommages et intérêts à la mesure du préjudice financier et moral subi par le soussigné. Ou les attentes dont elle est compétente, laissant à d'autres juridictions le restant". a) Selon l’art. 76 LPA-VD (loi sur la procédure administrative du 28 octobre 2008; RSV 173.36),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b) Le 31 janvier 2013, le Président de la Chambre des avocats a considéré que la poursuite disciplinaire engagée par J.________, le 16 janvier 2013, était prescrite, conformément à l’art. 19 LLCA (loi fédérale sur la libre circulation des avocats; RS 935.61), les opérations de Me C.________ ayant fait l’objet de la dénonciation du recourant remontant aux années 2001 et 2002. Pour les autres faits dénoncés, à savoir les "agissements" de l’avocate durant les années 2011 et 2012, le Président a, dans la décision entreprise, indiqué qu’il n’existait aucun indice d’un comportement contraire aux devoirs professionnels de l’avocate. Contrairement à ce que soutient le recourant, on ne voit là aucune démarche approximative de la part du Président de la Chambre des avocats. S’agissant des "agissements" de l’avocate durant les années 2011 et 2012, le recourant n’avance à l’appui de son recours aucun début d’indice qui permettrait d’infirmer la décision entreprise. L’entier de son argumentation se fonde sur le comportement de Me C.________ en lien avec la procédure de divorce, lors même que cet objet a été traité dans le cadre d’une décision antérieure à celle présentement litigieuse et que, comme indiqué par le Président, la procédure disciplinaire est prescrite. Il n’y a donc pas lieu d’y revenir. Mal fondé, les griefs du recourant doivent dès lors être rejetés.</w:t>
      </w:r>
    </w:p>
    <w:p>
      <w:r>
        <w:rPr>
          <w:b/>
        </w:rPr>
        <w:t>E. 3</w:t>
      </w:r>
    </w:p>
    <w:p>
      <w:r>
        <w:t>mai 2013 Le dispositif de l'arrêt qui précède est communiqué par écrit aux intéressés. La greffière : Du L'arrêt qui précède, dont la rédaction a été approuvée à huis clos, est notifié en expédition complète, par l'envoi de photocopies,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