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321 vom 19. April 2013</w:t>
      </w:r>
    </w:p>
    <w:p>
      <w:r>
        <w:t>VD Tribunal cantonal, 2013-04-19, FR</w:t>
      </w:r>
    </w:p>
    <w:p>
      <w:r>
        <w:rPr>
          <w:b/>
        </w:rPr>
        <w:t xml:space="preserve">Quelle: </w:t>
      </w:r>
      <w:r>
        <w:t>https://mcp.opencaselaw.ch/entscheid/vd_findinfo_HC___2013___321</w:t>
      </w:r>
    </w:p>
    <w:p>
      <w:r>
        <w:t>FR: VD_FINDINFO HC / 2013 / 321 du 19 avril 2013</w:t>
      </w:r>
    </w:p>
    <w:p>
      <w:r>
        <w:t>IT: VD_FINDINFO HC / 2013 / 321 del 19 aprile 2013</w:t>
      </w:r>
    </w:p>
    <w:p>
      <w:pPr>
        <w:pStyle w:val="Heading2"/>
      </w:pPr>
      <w:r>
        <w:t>Regeste</w:t>
      </w:r>
    </w:p>
    <w:p>
      <w:r>
        <w:t>AVOCAT D'OFFICE, INDEMNITÉ ÉQUITABLE, TAXE SUR LA VALEUR AJOUTÉE | 122 al. 1 let. a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Le recourant soutient qu’il n’a pas à payer la TVA dès lors qu’il est domicilié en France. Selon l’art. 1 al. 1 LTVA (loi fédérale du 12 juin 2009 régissant la taxe sur la valeur ajoutée ; RS 641.20), la Confédération perçoit un impôt général sur la consommation (taxe sur la valeur ajoutée, TVA). La TVA a pour but d’imposer la consommation finale sur le territoire suisse. L’art. 1 al. 2 let. a LTVA précise qu’au titre de la taxe sur la valeur ajoutée, la Confédération perçoit un impôt sur les prestations que les assujettis fournissent à titre onéreux sur le territoire suisse. En ce qui concerne les prestations de services, savoir toutes prestations qui ne constituent pas une livraison (art. 3 let. e LTVA), l’art. 8 al. 1 LTVA prévoit que,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L’art. 8 al. 2 let. a LTVA prévoit une exception pour les prestations de services qui sont d’ordinaire fournies directement à des personnes physiques présentes, même si elles sont exceptionnellement fournies à distance, tel le conseil personnel, pour lesquelles le lieu où le prestataire a le siège de son activité. Dans son message explicatif, le Conseil fédéral a précisé que cette exception a pour fondement le fait que certaines prestations de services (par exemple : une coupe de cheveux ou des prestations de soins) peuvent être fournies exclusivement en présence des personnes physiques qui les reçoivent. La consommation de cette prestation est donc effectuée à l’endroit où le prestataire de services exerce son activité. En raison du principe de l’imposition au lieu de l’utilisation, ce type de prestations est donc imposée à l’endroit où elle est fournie. Pour que ces prestations de même teneur soient imposées au même endroit, une certaine schématisation est nécessaire. Cette schématisation est exprimée par l’adjonction de l’expression ordinairement et de la proposition concessive « même si ces prestations sont exceptionnellement fournies à distance ». Cette disposition concerne non pas la prestation de services qui, fournie concrètement à un destinataire, nécessite obligatoirement la présence de ce dernier pour être fournie, mais les prestations de services qui exigent, en principe, c’est-à-dire dans le cas ordinaire, la présence du destinataire, même lorsqu’elles ne sont pas, dans un cas particulier, fournies sur place (Feuille fédérale [FF] 2008 pp. 6277 ss, spéc., p. 6334). En l’espèce, l’activité d’avocat d’office devant un tribunal est d’ordinaire exercée au lieu où l’avocat a son étude et devant le tribunal qui l’a désigné. Conformément aux considérations qui précèdent, il y a lieu de considérer que la prestation de services est ordinairement effectuée à l’endroit où l’avocat d’office exerce son activité, de sorte que c’est à juste titre que le premier juge a soumis l’indemnité en cause à la TVA. Le recours doit être rejeté sur ce point.</w:t>
      </w:r>
    </w:p>
    <w:p>
      <w:r>
        <w:rPr>
          <w:b/>
        </w:rPr>
        <w:t>E. 4</w:t>
      </w:r>
    </w:p>
    <w:p>
      <w:r>
        <w:t>Dans la mesure où le recourant contesterait devoir les frais judiciaires, il y aurait lieu de relever que ces frais ont été mis à la charge de l’Etat en raison de l’octroi de l’assistance judiciaire et qu’ils ne devront être remboursés par le recourant que dans la mesure de l’art. 123 CPC, de sorte que le recours serait sans objet sur ce point.</w:t>
      </w:r>
    </w:p>
    <w:p>
      <w:r>
        <w:rPr>
          <w:b/>
        </w:rPr>
        <w:t>E. 5</w:t>
      </w:r>
    </w:p>
    <w:p>
      <w:r>
        <w:t>En conclusion, le recours doit être rejeté en application de l’art. 322 al. 1 CPC et le prononcé confirmé. Vu le rejet du recours, les frais judiciaires de deuxième instance, arrêtés à 100 fr. (art. 69 al. 1 et 70 al. 3 TFJC [tarif du 28 septembre 2010 des frais judiciaires civils ; RSV 270.11.5), seront mis à la charge du recourant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P.________. IV. L’arrêt motivé est exécutoire. Le président :               Le greffier : Du 22 avril 2013 Le dispositif de l'arrêt qui précède est communiqué par écrit aux intéressés. Le greffier : Du L'arrêt qui précède, dont la rédaction a été approuvée à huis clos, est notifié en expédition complète, par l'envoi de photocopies, à : ‑ M. P.________, ‑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