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316 vom 26. April 2013</w:t>
      </w:r>
    </w:p>
    <w:p>
      <w:r>
        <w:t>VD Tribunal cantonal, 2013-04-26, FR</w:t>
      </w:r>
    </w:p>
    <w:p>
      <w:r>
        <w:rPr>
          <w:b/>
        </w:rPr>
        <w:t xml:space="preserve">Quelle: </w:t>
      </w:r>
      <w:r>
        <w:t>https://mcp.opencaselaw.ch/entscheid/vd_findinfo_HC___2013___316</w:t>
      </w:r>
    </w:p>
    <w:p>
      <w:r>
        <w:t>FR: VD_FINDINFO HC / 2013 / 316 du 26 avril 2013</w:t>
      </w:r>
    </w:p>
    <w:p>
      <w:r>
        <w:t>IT: VD_FINDINFO HC / 2013 / 316 del 26 aprile 2013</w:t>
      </w:r>
    </w:p>
    <w:p>
      <w:pPr>
        <w:pStyle w:val="Heading2"/>
      </w:pPr>
      <w:r>
        <w:t>Regeste</w:t>
      </w:r>
    </w:p>
    <w:p>
      <w:r>
        <w:t>DROIT D'ÊTRE ENTENDU, GARDE ALTERNÉE, INTÉRÊT DE L'ENFANT | 176 CC, 29 Cst., 117 let. b CPC (CH), 271 CPC (CH)</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suisse du 19 décembre 2008 ; RS 272 ; Tappy, Les voies de droit du nouveau Code de procédure civile, in JT 2010 III 115, spéc. p. 121), dans les causes exclusivement patrimoniales pour autant que la valeur litigieuse, au dernier état des conclusions devant l’autorité inférieure, soit de 10'000 fr. au moins (art. 308 al. 2 CPC). Les ordonnances de mesures protectrices étant régies par la procédure sommaire, selon l’art. 271 CPC, le délai pour l’introduction de l’appel est de dix jours (art. 314 al. 1 CPC). L’appel est de la compétence du juge délégué de la Cour d’appel civile qui statue comme juge unique (art. 84 al. 2 LOJV [Loi d’organisation judiciaire du 12 décembre 1979 ; RSV 173.01]). Formé en temps utile par une partie qui y a intérêt (art. 59 al. 2 let. a CPC) et portant sur des conclusions en partie non patrimoniales,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op. cit., pp. 136-137 ; Jeandin, in CPC commenté, Bâle 2011, n. 5 ad art. 296 CPC et les réf. citées). En l’espèce, le litige porte notamment sur le sort d’enfants mineurs, de sorte que les pièces produites en deuxième instance sont recevables ; elles ont ainsi été prises en compte dans la mesure de leur utilité pour l’examen de la cause.</w:t>
      </w:r>
    </w:p>
    <w:p>
      <w:r>
        <w:rPr>
          <w:b/>
        </w:rPr>
        <w:t>E. 3</w:t>
      </w:r>
    </w:p>
    <w:p>
      <w:r>
        <w:t>L’appelant se plaint ensuite du fait que les enfants n’aient pas été entendus dans le cadre de la procédure. a) L'audition des enfants découle directement de l'art. 12 CDE ([Convention du 20 novembre 1989 des Nations Unies relative aux droits de l'enfant; RS 0.107] sur ce point : ATF 124 III 90). Cette norme conventionnelle ne consacre toutefois pas de prérogatives plus larges que celles résultant des art. 314 ch. 1 CC et 298 al. 1 CPC (TF 5A_46/2007 du 23 avril 2007, c. 2.1). En vertu de ces dispositions, avant d'ordonner une mesure de protection de l'enfant, l'autorité tutélaire ou le tiers nommé à cet effet, entend l'enfant personnellement et de manière appropriée, pour autant que son âge ou d'autres motifs importants ne s'opposent pas à l'audition. Le choix de la personne habilitée à entendre l'enfant relève en principe de l'appréciation du juge. Il serait toutefois contraire à la ratio legis de déléguer systématiquement l'audition à une tierce personne, car il est essentiel que le tribunal puisse se former directement sa propre opinion. L'audition est donc, en principe, effectuée par la juridiction compétente elle-même; en cas de circonstances particulières, elle peut l'être par un spécialiste de l'enfance, par exemple un pédopsychiatre ou le collaborateur d'un service de protection de la jeunesse (ATF 133 III 553 c. 4; ATF 131 III 553, JT 2006 I 83 ; ATF 127 III 295 c. 2a-2b et les citations; TF 5C.19/2002 du 15 octobre 2002 c. 2.1 in FamPra.ch 2003 p. 446 ss ; TF 5C.247/2004 du 10 février 2005 c. 6.3.2). Ces circonstances se réfèrent à des cas particulièrement délicats dans lesquels les compétences d'un spécialiste sont requises pour éviter de porter préjudice à la santé de l'enfant, par ex. en cas de soupçon de relations familiales pathogènes, de conflit familial aigu et de dissension concernant le sort des enfants, de troubles reconnaissables chez l'enfant, de son âge, etc. (Alexandra Rumo-Jungo/Guy Bodenmann, Die Anhörung von Kindern in FamPra.ch 2003 p. 6; Peter Breitschmid, Commentaire bâlois, n. 4 ss ad art. 144 CC).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(ATF 133 III 553 c. 4; TF 5A_397/2011 du 14 juillet 2011 c. 2.4, in FamPra.ch 2011 p. 1031). b) En l’espèce, les deux parties ont sollicité du premier juge un mandat d’évaluation confié au SPJ et le magistrat a fait droit à cette requête. Il a précisé dans sa décision qu’il bénéficiait de peu de renseignements objectifs concernant les enfants et que le SPJ devra dans ces circonstances évaluer prioritairement le régime transitoire qui devra être mis en place pour leur garde, en examinant les mesures propres à favoriser le retour éventuel à une garde alternée. Le premier juge a dès lors rendu, dans le contexte présentant un certain degré d’urgence, une décision provisoire, susceptible d’être revue dès que le SPJ aura procédé à son évaluation. En outre, la question de la garde des enfants du couple présente un degré de complexité tel, en raison de la garde alternée antérieure et des réactions différentes des enfants, que le choix de confier leur audition à un spécialiste apparaît justifié. Ce choix permettra aussi, conformément à la jurisprudence rappelée, d’éviter la multiplication des auditions. Compte tenu des circonstances particulières dans lesquelles le juge a statué, l’audition des enfants ne s’imposait pas en l’état. Ce grief, mal fondé, doit être rejeté.</w:t>
      </w:r>
    </w:p>
    <w:p>
      <w:r>
        <w:rPr>
          <w:b/>
        </w:rPr>
        <w:t>E. 4</w:t>
      </w:r>
    </w:p>
    <w:p>
      <w:r>
        <w:t>L’appelant soutient que le premier juge aurait dû maintenir la garde alternée jusqu’au dépôt du rapport du SPJ. Il se prévaut d’échanges de courriels qui démontreraient que les époux sont parfaitement capables de s’entendre pour une garde alternée. Il a également pris des conclusions subsidiaires tendant à ce que la garde des enfants lui soit confiée, sans toutefois motiver cette conclusion. Comme le premier juge, il faut considérer que l’appelant souhaite en réalité la continuation de la garde alternée. a) En vertu de l'art. 176 al. 3 CC (Code civil suisse du 10 décembre 1907 ; RS 210) relatif à l'organisation de la vie séparée, lorsque les époux ont des enfants mineurs, le juge des mesures protectrices ordonne les mesures nécessaires d'après les dispositions sur les effets de la filiation (art. 273 ss CC). Le juge doit notamment régler les questions de la garde et des relations personnelles, voire celle de l’autorité parentale. L’octroi de la garde dans le cadre des mesures protectrices est soumis aux principes posés par la jurisprudence et la doctrine en matière de divorce, qui sont applicables par analogie (Bräm, in Zürcher Kommentar, 2 e éd., Zurich 1998, nn. 89 et 101 ad art. 176 CC ; Chaix, in Commentaire Romand, Code civil I, Bâle 2010, n. 19 ad art. 176 CC ;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 il faut choisir la solution qui, au regard des données de l'espèce, est la mieux à même d'assurer à l'enfant la stabilité des relations nécessaires à un développement harmonieux des points de vue affectif, psychique, moral et intellectuel (ATF 136 I 178 c. 5.3 ; ATF 117 lI 353 c. 3 ; ATF 115 Il 317 c. 2 ; ATF 115 Il 206 c. 4a; FamPra.ch 2008 p. 981 ; FamPra.ch 2006 p. 193). Le juge privilégiera ainsi le maintien du modèle de mariage adopté par les époux du temps de la vie commune et attribuera la garde de préférence à l’époux qui consacrait le plus de son temps à l’éducation et aux soins des enfants. La garde alternée est la situation dans laquelle les parents exercent en commun l’autorité parentale, mais se partagent la garde de l’enfant de manière alternée pour des périodes plus ou moins égales, qui peuvent être fixées en jours ou en semaines, voire en mois. Elle n’est envisageable que si les parents sont d’accord et ont pris toutes les mesures pour régler les aspects pratiques de manière à préserver le bien de l’enfant (TF 5A_69/2011 du 27 février 2012 c. 2.1, in FamPra.ch 2012 p. 817 ; TF 5A_645/2008 du 27 août 2009 c. 6 ; TF 5P.345/2005 du 23 décembre 2005 c. 3.3 ; Chaix, op. cit., n. 19 ad art. 176 CC ; Juge délégué CACI, 20 décembre 2011/411). b) En l’occurrence, le premier juge a estimé qu’il n’existait plus d’accord suffisant des parties pour maintenir le régime de la garde alternée. Il a relevé que compte tenu des difficultés de communication entre l’appelant et son épouse, il serait préjudiciable à l’intérêt des enfants de maintenir la solution de garde alternée adoptée dans un premier temps après la séparation. Il a également retenu les difficultés rencontrées par l’enfant D.L.________, qui sont, à ce stade de la procédure, rendues suffisamment vraisemblables (ord., p. 14). Le premier juge a dès lors attribué la garde des enfants à la mère, mais a accordé un large droit de visite au père comprenant également une nuit par semaine (ord., p. 15). Cette solution est en l’état adéquate. En effet, la conciliation a été tentée sans succès en première instance; on doit ainsi tenir pour acquis que les parties ne parviennent pas à s’entendre sur le principe d’une garde alternée, ni a fortiori sur ses modalités. Par ailleurs, comme on l’a vu, il n’y a pas à revenir sur l’attribution de la garde en faveur de l’intimée qui présente une plus grande disponibilité et qui s’est occupée jusqu’à présent de la plus grande part de la gestion du quotidien des enfants. Enfin, quoi qu’en dise l’appelant, les courriels qu’il produit lui-même montrent également de graves dissensions entre les parties. Ainsi, l’intimée écrit-elle dans l’un d’entre eux, ce qui suit « Je comprends que tu sois furieux, mais ta colère est palpable et rend nos échanges oraux impossibles. J’espère que dans quelques temps cela deviendra plus facile et que nous pourrons communiquer au sujet de nos enfants paisiblement. ». Compte tenu de ce qui précède, l’ordonnance entreprise doit être confirmée, également sur l’attribution de la garde des enfants C.L.________, D.L.________ et E.L.________ à leur mère.</w:t>
      </w:r>
    </w:p>
    <w:p>
      <w:r>
        <w:rPr>
          <w:b/>
        </w:rPr>
        <w:t>E. 5</w:t>
      </w:r>
    </w:p>
    <w:p>
      <w:r>
        <w:t>En définitive, l’appel de A.L.________ est rejeté. Dès lors que la cause était d’emblée dépourvue de toute chance de succès, l’appelant doit être débouté de sa demande d’assistance judiciaire (art. 117 let. b CPC). On renoncera toutefois exceptionnellement à mettre des frais judiciaires de deuxième instance à la charge de l’appelant qui succombe, dès lors notamment qu’aucune avance n’a été demandée (art. 112 al. 1 CPC). L'intimée n'ayant pas été invitée à se déterminer (art. 312 al. 1 in fine CPC),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