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315 vom 6. Mai 2013</w:t>
      </w:r>
    </w:p>
    <w:p>
      <w:r>
        <w:t>VD Tribunal cantonal, 2013-05-06, FR</w:t>
      </w:r>
    </w:p>
    <w:p>
      <w:r>
        <w:rPr>
          <w:b/>
        </w:rPr>
        <w:t xml:space="preserve">Quelle: </w:t>
      </w:r>
      <w:r>
        <w:t>https://mcp.opencaselaw.ch/entscheid/vd_findinfo_HC___2013___315</w:t>
      </w:r>
    </w:p>
    <w:p>
      <w:r>
        <w:t>FR: VD_FINDINFO HC / 2013 / 315 du 6 mai 2013</w:t>
      </w:r>
    </w:p>
    <w:p>
      <w:r>
        <w:t>IT: VD_FINDINFO HC / 2013 / 315 del 6 maggio 2013</w:t>
      </w:r>
    </w:p>
    <w:p>
      <w:pPr>
        <w:pStyle w:val="Heading2"/>
      </w:pPr>
      <w:r>
        <w:t>Regeste</w:t>
      </w:r>
    </w:p>
    <w:p>
      <w:r>
        <w:t>OBLIGATION D'ENTRETIEN, MODIFICATION DES CIRCONSTANCES, NOUVEAU MOYEN DE FAIT | 176 al. 1 CC, 285 al. 1 CC, 308 al. 1 let. b CPC (CH), 312 al. 1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les art. 248 let. d et 271 CPC par renvoi de l'art. 276 CPC pour les procédures matrimoniales, le délai pour l'introduction de l'appel est de dix jours (art. 314 al. 1 CPC; TF 5A_704/2011 du 23 février 2012]). Un membre de la Cour d'appel civile statue comme juge unique sur les appels formés contre les décisions sur mesures provisionnelles et sur mesures protectrices de l'union conjugale (art. 84 al. 2 LOJV [loi d'organisation judiciaire du 12 décembre 1979; RSV 173.01]). Interjeté en temps utile par une partie qui y a intérêt (art. 59 al. 2 let. a CPC) et portant sur des conclusions qui, capitalisées selon l'art. 92 al. 2 CPC, sont supérieures à 10'000 fr., l'appel est recevable (art. 311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3.1</w:t>
      </w:r>
    </w:p>
    <w:p>
      <w:r>
        <w:t>L’appelante conteste la quotité de la contribution d’entretien due pour ses enfants. Elle estime que la capacité financière d’Q.________ a été mal évaluée car il n’a pas été tenu compte des bonus de l’intimé ni des revenus tirés de la location de l’appartement d’[...]. Par ailleurs, compte tenu du train de vie aisé des parties, il fallait, selon elle, prendre en considération les besoins concrets des enfants, qu’elle évalue à 5'690 fr. 30 par mois.</w:t>
      </w:r>
    </w:p>
    <w:p>
      <w:r>
        <w:rPr>
          <w:b/>
        </w:rPr>
        <w:t>E. 3.2.1</w:t>
      </w:r>
    </w:p>
    <w:p>
      <w:r>
        <w:t>Une fois que des mesures protectrices de l'union conjugale ou des mesures provisionnelles dans la procédure en divorce ont été ordonnées, elles ne peuvent être modifiées qu'aux conditions de l'art. 179 CC (Code civil suisse du du 10 décembre 1907 ; RS 210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c.3.2 et réf.). Le premier juge a admis l’existence de faits nouveaux, à savoir le fait qu’Q.________ travaille depuis le 3 décembre 2012 auprès de [...] et que la responsabilité de son départ de la société [...] ne lui est pas imputable. Ce point n'est, à juste titre, pas contesté par l'appelante.</w:t>
      </w:r>
    </w:p>
    <w:p>
      <w:r>
        <w:rPr>
          <w:b/>
        </w:rPr>
        <w:t>E. 3.2.2</w:t>
      </w:r>
    </w:p>
    <w:p>
      <w:r>
        <w:t>Selon la doctrine et la jurisprudence, le revenu déterminant pour la fixation de la contribution d'entretien est le revenu effectif. Celui-ci comprend le produit du travail salarié, mais aussi les revenus de la fortune, les gratifications, le treizième salaire et les avantages salariaux, par exemple sous forme de véhicule, d'indemnité pour travail en équipe ou de frais de représentation (Meier/Stettler, Droit de la filiation, 4e éd., 2009, n. 982, p. 571, note infrapaginale 2118). Les bonus régulièrement versés doivent être considérés – même non garantis – comme éléments du revenu effectif (ATF 129 III 7 ; Bastons Bulletti, L'entretien après divorce : méthodes de calcul, montant, durée et limites, in SJ 2007 II 67, n. 18, p. 80 ; CREC II 2 mars 2011/31). Toutefois si des parts de salaire, à l'instar de provisions, de pourboires ou de bonus, sont versées à intervalles irréguliers, voire si elles font l'objet d'un versement unique, et si leur montant est irrégulier, il convient de considérer le revenu comme variable, de sorte que les calculs se baseront sur une valeur moyenne établie sur une période considérée comme représentative (TF 5A_686/2010 du 6 décembre 2010 c. 2.3, in La Pratique du droit de la famille [FamPra.ch] 2011 p. 483). Les revenus tirés de la location d’une résidence secondaire doivent être pris en compte, cas échéant à titre hypothétique. Il a notamment été considéré qu’on pouvait exiger du débirentier qu’il la mette en location de temps en temps sans pour autant qu’il renonce à l’occuper (CREC II 6 janvier 2011/4 c. 4 c) bb)). 3.3.1 En l'espèce, les relations de travail de l’intimé auprès d’[...] ont pris fin au 30 septembre 2012. Q.________ a perçu de cet employeur une gratification pour l’année 2012, au mois de janvier 2013, d’un montant net de 31'205 fr. 85. Depuis le 3 décembre 2012, l’intimé travaille en qualité de directeur général de [...] et perçoit un salaire mensuel brut de 14'644 fr. soit un salaire mensuel net de l’ordre de 12'710 francs. Selon le contrat de travail, au terme du temps d’essai, une prime annuelle représentant deux mois et demi du salaire de base serait accordée pour atteinte des objectifs définis par le Directeur Europe continentale de [...]. L’appelante soutient que le bonus versé en janvier 2013 doit être pris en considération en sus du salaire perçu chez [...] pour fixer le revenu de l’intimé. Elle prétend que cette méthode avait été justement appliquée par le premier juge des mesures protectrices de l'union conjugale, qui avait tenu compte du bonus 2009, versé en 2010, pour déterminer le revenu 2010. S’il est exact, de manière générale, de comptabiliser le bonus pour l’année qui précède, cela revient à exiger du débirentier qu’il avance mois après mois un douzième d’un montant qu’il n’a pas encore reçu, ce qui n’est pas satisfaisant. Dans le cas d’espèce, il faut néanmoins relever que l’intimé n’a requis une modification du montant de la contribution d’entretien qu’à compter du 1 er janvier 2013, alors même que sa situation professionnelle a changé dès le 1 er octobre 2012. Par ailleurs, le premier juge a tenu compte du bonus versé par l’ancien employeur en janvier 2013 et on ne saurait comptabiliser les deux bonus sur cette même année. En outre, c’est à juste titre que l’appelante allègue que le revenu tiré de la location de l’appartement d’[...] doit être pris en compte et on retiendra à ce titre un revenu net annuel de 3'000 fr., comme l’intimé l’a lui-même indiqué à l’audience du 6 février 2013. Cela étant, le revenu à prendre en compte est de 12'960 fr. par mois (12'710 fr. de salaire net [...] + 250 fr. de revenu locatif mensualisé). Avec des charges incompressibles de 5'860 fr., le disponible est de 7'100 francs. 3.3.2 L’appelante ne prétend pas en appel que sa situation financière aurait changé. Elle travaille Chez [...] à 70 %. Dans le prononcé de mesures protectrices de l'union conjugale du 16 juin 2011, il est indiqué qu’un taux d’activité de 65 % lui permettait de réaliser un revenu net de 13'000 francs. Il y a lieu de considérer qu’en l’état, elle réalise un revenu mensuel net de l’ordre 14'000 fr. (13'000 fr. x 70/65). Une fois déduites ses charges, il lui reste un disponible de   5'800 fr., si l’on s’en tient aux charges telles que retenues dans le prononcé de mesures protectrices de l'union conjugale du 16 juin 2011 et auxquelles les parties se réfèrent (l’appelante n’a toutefois plus à supporter depuis avril 2012 le solde de la prime d’assurance-maladie de l’intimé). Cela étant, comme l’appelante prétend au paiement des frais effectifs des enfants, il n’est pas possible d’intégrer dans son minimum vital les charges extrascolaires (533 fr.), de garde (1'083 fr.), de cantine 300 fr.) et de vacances (500 fr.), qui totalisent 2'416 fr., comme l’a fait le juge des mesures protectrices de l'union conjugale le 16 juin 2011 (cf supra ch. 2). C’est ainsi un montant de 2’416 fr. supplémentaires qui vient s’ajouter dans l’excédent de l’appelante, amenant celui-ci à 8'216 fr. (5'800 fr. + 2'416 fr.).</w:t>
      </w:r>
    </w:p>
    <w:p>
      <w:r>
        <w:rPr>
          <w:b/>
        </w:rPr>
        <w:t>E. 3.4.1</w:t>
      </w:r>
    </w:p>
    <w:p>
      <w:r>
        <w:t>Aux termes de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77 ss, spéc. p. 107 s.; RSJ 1984 p. 392 n° 4 et note p. 393; Meier/Stettler, Droit de la filiation, 4ème éd., n. 978, pp. 567-568; TF 5A_84/2007 précité c. 5.1). Il s'agit là d'un taux approximatif qui doit être pondéré au vu des circonstances, selon l'équité (ATF 107 II 406 c. 2c; RSJ 1984 p. 392 n° 4 précité; Meier/Stettler, ibidem). La Chambre des recours applique ces critères à tous les enfants mineurs, indépendamment de l'état civil de leurs parents (mariés ou non, séparés ou divorcés), CREC II 15 novembre 2010/234. Le Tribunal fédéral a admis la méthode dite "des pourcentages" pour autant que la pension reste en rapport avec le niveau de vie et la capacité contributive du débiteur (TF 5A_178/2008 du 23 avril 2008 c. 3.3; TF 5A_84/2007 du 18 septembre 2007 c. 5.1 et les références citées). Si les ressources des père et mère sont suffisantes pour couvrir les besoins de l'enfant, il suffit de fixer la part que chacun des parents doit supporter en fonction de sa capacité financière (TF 5C.127/2003 du 15 octobre 2003 c. 4.1.4).</w:t>
      </w:r>
    </w:p>
    <w:p>
      <w:r>
        <w:rPr>
          <w:b/>
        </w:rPr>
        <w:t>E. 3.4.2</w:t>
      </w:r>
    </w:p>
    <w:p>
      <w:r>
        <w:t>En l’espèce, sur la base d’un salaire net de l’intimé de 12'960 fr. et d’un pourcentage de 25% s’agissant de l’entretien de deux enfants, on arrive à une contribution de 3'240 francs. Le montant arrondi de 3'200 fr. retenu par le premier juge ne prête pas le flanc à la critique. A supposer que les besoins des enfants s’élèvent à 5'443 fr. comme allégué en première instance sur la base de charges très largement comptées, le montant de 5'960 fr. énoncé en appel n’étant en rien établi, et que le train de vie aisé des parties justifie que les frais des enfants soient couverts, il n’y a aucun motif de les faire supporter entièrement par le père, alors que la situation financière de la mère est aussi très favorable. On n’est pas dans la situation où un parent dont la capacité financière est supérieure peut être tenu de subvenir à l’entier des besoins en argent, si l’autre parent remplit son obligation à l’égard de l’enfant essentiellement en nature (TF 5A_386/2012 du 23 juillet 2012 c. 4.2 et réf.), et l’on doit au contraire fixer la part en fonction de la capacité contributive. En l’espèce, le fait d’assumer le 60% de charges très largement comptées, correspondant au 25% du revenu ne prête pas le flanc à la critique, ce d’autant que l’appelante touche encore le quart d’un éventuel bonus. Au demeurant, compte tenu de l’excédent du couple qui est de 15'316 (7'100 fr. + 8'216 fr.), s’il s’agissait de calculer la contribution due pour l’entretien de la famille dans son ensemble au stade de mesures protectrices de l'union conjugale, l’appelante se verrait accorder un montant de  980 fr. seulement       (15’316 fr. x 60% - 8'216 fr. = 973.60). Elle ne peut assurément pas prétendre au paiement de 5'250 fr. alors que les conclusions prises en appel ne concerne que les enfants. Dans le cas contraire, il y aurait un transfert de patrimoine qui anticiperait sur la liquidation du régime matrimonial. Ainsi, le prononcé par lequel l’appelante obtient paiement d’une pension de 3'200 fr. pour l’entretien de ses enfants plus un quart du bonus annuel, doit être confirmé.</w:t>
      </w:r>
    </w:p>
    <w:p>
      <w:r>
        <w:rPr>
          <w:b/>
        </w:rPr>
        <w:t>E. 4</w:t>
      </w:r>
    </w:p>
    <w:p>
      <w:r>
        <w:t>Au vu de ce qui précède, l'appel, manifestement infondé, doit être rejeté en application de l'art. 312 al. 1 CPC et le prononcé entrepris confirmé. Les frais judiciaires, arrêtés à 900 fr. (art. 65 al. 3 TFJC (tarif des frais judiciaires civils du 28 septembre 2010 ; RSV 270.11.5]) sont mis à la charge de l’appelante qui succombe. Il n’y a pas matière à l’allocation de dépens de deuxième instance, l’intimé n’ayant pas été invité à se déterminer sur l’appel. Par ces motifs, la juge déléguée de la Cour d'appel civile du Tribunal cantonal, statuant à huis clos, en application de l'art. 312 al. 1 CPC, prononce : I. L'appel est rejeté. II. Le prononcé est confirmé. III. Les frais judiciaires de deuxième instance, arrêtés à 900 fr. (neuf cents francs), sont mis à la charge de l'appelante P.________. I V. L'arrêt motivé est exécutoire. La juge déléguée : Le greffier : Du</w:t>
      </w:r>
    </w:p>
    <w:p>
      <w:r>
        <w:rPr>
          <w:b/>
        </w:rPr>
        <w:t>E. 6</w:t>
      </w:r>
    </w:p>
    <w:p>
      <w:r>
        <w:t>mai 2013 Le dispositif de l'arrêt qui précède est communiqué par écrit aux intéressés. Le greffier : Du L'arrêt qui précède, dont la rédaction a été approuvée à huis clos, est notifié en expédition complète, par l'envoi de photocopies, à : ‑ Me Patricia Michellod (pour P.________), ‑ Me Catherine Weniger (pour 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