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303 vom 16. Oktober 2013</w:t>
      </w:r>
    </w:p>
    <w:p>
      <w:r>
        <w:t>VD Tribunal cantonal, 2013-10-16, FR</w:t>
      </w:r>
    </w:p>
    <w:p>
      <w:r>
        <w:rPr>
          <w:b/>
        </w:rPr>
        <w:t xml:space="preserve">Quelle: </w:t>
      </w:r>
      <w:r>
        <w:t>https://mcp.opencaselaw.ch/entscheid/vd_findinfo_HC___2013___303</w:t>
      </w:r>
    </w:p>
    <w:p>
      <w:r>
        <w:t>FR: VD_FINDINFO HC / 2013 / 303 du 16 octobre 2013</w:t>
      </w:r>
    </w:p>
    <w:p>
      <w:r>
        <w:t>IT: VD_FINDINFO HC / 2013 / 303 del 16 ottobre 2013</w:t>
      </w:r>
    </w:p>
    <w:p>
      <w:pPr>
        <w:pStyle w:val="Heading2"/>
      </w:pPr>
      <w:r>
        <w:t>Regeste</w:t>
      </w:r>
    </w:p>
    <w:p>
      <w:r>
        <w:t>SERVITUDE FONCIÈRE, CLÔTURE, PRODUCTION VÉGÉTALE | 341 CPC (CH), 342 CPC (CH)</w:t>
      </w:r>
    </w:p>
    <w:p>
      <w:pPr>
        <w:pStyle w:val="Heading2"/>
      </w:pPr>
      <w:r>
        <w:t>Erwägungen</w:t>
      </w:r>
    </w:p>
    <w:p>
      <w:r>
        <w:rPr>
          <w:b/>
        </w:rPr>
        <w:t>E. 1</w:t>
      </w:r>
    </w:p>
    <w:p>
      <w:r>
        <w:t>L’appel est irrecevable contre les décisions du tribunal de l’exécution (art. 309 let. a CPC), qui peuvent donc faire l’objet d’un recours (art. 319 let. a CPC ; cf. Jeandin, in CPC commenté, Bâle 2011, n. 5 ad art. 309 CPC et n. 22 ad art. 341 CPC). La procédure sommaire étant applicable à la procédure d’exécution (art. 339 al. 2 CPC), le délai de recours est de dix jours (art. 321 al. 2 CPC). Interjeté en temps utile par une partie qui y a intérêt (art. 59 al. 2 let. a CPC), le recours est recevable à la forme.</w:t>
      </w:r>
    </w:p>
    <w:p>
      <w:r>
        <w:rPr>
          <w:b/>
        </w:rPr>
        <w:t>E. 2</w:t>
      </w:r>
    </w:p>
    <w:p>
      <w:r>
        <w:t>a) Le recours est recevable pour violation du droit (art. 320 let. a CPC) et constatation manifestement inexacte des faits (art. 320 let. b CPC). S’agissant de la violation du droit, l’autorité de recours dispose d’un plein pouvoir d’examen (Spühler, Basler Kommentar, 2010, n. 12 ad art. 319 CPC, p. 1504) ; elle revoit librement les questions de droit soulevées par le recourant et peut substituer ses propres motifs à ceux de l’autorité précédente ou du recourant (Hohl, Procédure civile, Tome lI,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b) Les conclusions, les allégations de fait et les preuves nouvelles sont irrecevables en procédure de recours (art. 326 CPC). En l’espèce, les pièces produites par l’intimée à l’appui de ses déterminations sont irrecevables pour autant qu’elles ne figurent pas déjà au dossier.</w:t>
      </w:r>
    </w:p>
    <w:p>
      <w:r>
        <w:rPr>
          <w:b/>
        </w:rPr>
        <w:t>E. 3</w:t>
      </w:r>
    </w:p>
    <w:p>
      <w:r>
        <w:t>Le recourant fait valoir que le jugement du 24 février 2011 a été correctement exécuté à la suite de l’ordonnance d’exécution du 17 octobre 2012, puisque le lierre adossé à la palissade a été enlevé.</w:t>
      </w:r>
    </w:p>
    <w:p>
      <w:r>
        <w:rPr>
          <w:b/>
        </w:rPr>
        <w:t>E. 3.1</w:t>
      </w:r>
    </w:p>
    <w:p>
      <w:r>
        <w:t>L’art. 341 CPC dispose que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w:t>
      </w:r>
    </w:p>
    <w:p>
      <w:r>
        <w:rPr>
          <w:b/>
        </w:rPr>
        <w:t>E. 3.2</w:t>
      </w:r>
    </w:p>
    <w:p>
      <w:r>
        <w:t>En l’espèce, selon jugement exécutoire du 24 février 2011, le recourant devait éliminer tout matériel, y compris les végétaux, qui obstruent ou opacifient d’une manière ou d’une autre les claires-voies de palissade installées en limite des propriétés n os J.________ et G.________ du cadastre de la Commune de [...]. Or, il apparaît à la lecture des considérants de l’ordonnance entreprise que la palissade à claires-voies a été vidée de tout matériel végétal ou autre. Sur la base de ce simple état de fait, force est de constater que le recourant s’est valablement libéré, ce qui rend caduque l’ordonnance entreprise, qui charge précisément un tiers « d’éliminer tout matériel, y compris les végétaux, qui obstruent ou opacifient d’une manière ou d’une autre les claires-voies de la palissade installée en limite des propriétés n os J.________ et G.________ du cadastre de la Commune de [...]. » Si l’ordonnance querellée s’attarde, dans sa motivation, sur les lierres fixés à un treillis sur les bacs amovibles, en les assimilant à tout matériel, y compris les végétaux, qui obstruent ou opacifient d’une manière ou d’une autre les claires-voies de la palissade (cf. ordonnance entreprise, p. 5, dernier paragraphe), le dispositif n’en fait nullement état. A supposer même que l’ordonnance d’exécution concerne aussi les bacs de terre, elle dépasserait les limites du jugement à exécuter qui n’en fait nullement état. Dans le cadre de ce jugement, il était seulement question du lierre qui poussait sur la palissade et obstruait les claires-voies. Cela étant, il appartiendra au juge du fond d’établir dans le cadre d’une hypothétique nouvelle procédure si l’installation litigieuse est contraire à la servitude, ce dont il y a lieu de douter. En effet, la servitude dont il est question concerne le genre de clôture et les plantations, qu’il s’agisse d’arbres ou de haies pleines, qui marquent la limite des propriétés. Le juge du fond ne s’y est pas trompé puisqu’il indique dans son dispositif la palissade installée en limite des propriétés n os J.________ et G.________. Lors même que la palissade dont il est question n’est pas située sur la limite, mais à 40 cm de cette limite, cela semble peu important, dès lors que la palissade en question a pour rôle de marquer la limite des propriétés. La servitude litigieuse ne peut ainsi que concerner l’aménagement de la limite des propriétés et non pas l’aménagement des abords de la piscine du recourant. Il n’y a donc a priori pas lieu d’interdire la pose de bacs ou autres installations à quelques 90 cm de la limite des propriétés, ce que n’a du reste pas fait le juge du fond, le dispositif ne concernant pas les bacs en question. On ne saurait pas plus interdire au recourant d’user de parasols sur sa propriété et encore moins l’empêcher de les incliner, ce qui constituerait une restriction excessive sortant manifestement du cadre de la servitude. Cette question peut néanmoins rester ouverte dans la mesure où il ne revient pas à la Cour de céans de la trancher dans le cadre de la présente procédure.</w:t>
      </w:r>
    </w:p>
    <w:p>
      <w:r>
        <w:rPr>
          <w:b/>
        </w:rPr>
        <w:t>E. 4</w:t>
      </w:r>
    </w:p>
    <w:p>
      <w:r>
        <w:t>En définitive, le recours de S.________ doit être admis et l’ordonnance d’exécution du 27 mars 2013 annulée.</w:t>
      </w:r>
    </w:p>
    <w:p>
      <w:r>
        <w:rPr>
          <w:b/>
        </w:rPr>
        <w:t>E. 5</w:t>
      </w:r>
    </w:p>
    <w:p>
      <w:r>
        <w:t>Vu l’issue du litige, les frais judiciaires de deuxième instance, arrêtés à 100 fr. (art. 69 al. 1 TFJC [tarif du 28 septembre 2010 des frais judiciaires civils]), doivent être mis à la charge des intimés A.U.________, C.U.________ et D.U.________, solidairement entre eux (art. 106 al. 1 CPC). A.U.________, C.U.________ et D.U.________, solidairement entre eux, doivent en outre verser au recourant S.________ la somme de 800 fr. (art. 9 al. 2 TDC [tarif des dépens en matière civile du 23 novembre 2010; RSV 270.11.6]), à titre de dépens et de restitution d’avance de frais de deuxième instance (art. 111 al. 2 CPC). Par ces motifs, la Chambre des recours civile du Tribunal cantonal, statuant à huis clos, en application de l'art. 322 al. 1 CPC, prononce : I. Le recours est admis. II. L’ordonnance est annulée. III. Les frais judiciaires de deuxième instance, arrêtés à 100 fr. (cent francs), sont mis à la charge des intimés A.U.________, C.U.________ et D.U.________, solidairement entre eux. IV. Les intimés A.U.________, C.U.________ et D.U.________, solidairement entre eux, doivent verser au recourant S.________ la somme de 800 fr. (huit cents francs) à titre de dépens et de restitution d’avance de frais de deuxième instance. V. L’arrêt motivé est exécutoire. Le président :               La greffière : Du 16 octobre 2013 Le dispositif de l'arrêt qui précède est communiqué par écrit aux intéressés. La greffière : Du L'arrêt qui précède, dont la rédaction a été approuvée à huis clos, est notifié en expédition complète, par l'envoi de photocopies, à : ‑ Me Philippe Vogel, pour S.________, ‑ Mesdames et Monsieur A.U.________, C.U.________ et D.U.________. La Chambre des recours civile considère que la valeur litigieuse n’est pas supérieure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