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 vom 13. Dezember 2012</w:t>
      </w:r>
    </w:p>
    <w:p>
      <w:r>
        <w:t>VD Tribunal cantonal, 2012-12-13, FR</w:t>
      </w:r>
    </w:p>
    <w:p>
      <w:r>
        <w:rPr>
          <w:b/>
        </w:rPr>
        <w:t xml:space="preserve">Quelle: </w:t>
      </w:r>
      <w:r>
        <w:t>https://mcp.opencaselaw.ch/entscheid/vd_findinfo_HC___2013___3</w:t>
      </w:r>
    </w:p>
    <w:p>
      <w:r>
        <w:t>FR: VD_FINDINFO HC / 2013 / 3 du 13 décembre 2012</w:t>
      </w:r>
    </w:p>
    <w:p>
      <w:r>
        <w:t>IT: VD_FINDINFO HC / 2013 / 3 del 13 dicembre 2012</w:t>
      </w:r>
    </w:p>
    <w:p>
      <w:pPr>
        <w:pStyle w:val="Heading2"/>
      </w:pPr>
      <w:r>
        <w:t>Regeste</w:t>
      </w:r>
    </w:p>
    <w:p>
      <w:r>
        <w:t>OBLIGATION D'ENTRETIEN, CONJOINT, ENFANT DU CONJOINT, MESURE PROVISIONNELLE | 159 al. 3 CC, 176 al. 1 ch. 1 CC, 278 al. 2 CC, 308 al. 1 let. b CPC (CH)</w:t>
      </w:r>
    </w:p>
    <w:p>
      <w:pPr>
        <w:pStyle w:val="Heading2"/>
      </w:pPr>
      <w:r>
        <w:t>Erwägungen</w:t>
      </w:r>
    </w:p>
    <w:p>
      <w:r>
        <w:rPr>
          <w:b/>
        </w:rPr>
        <w:t>E. 1</w:t>
      </w:r>
    </w:p>
    <w:p>
      <w:r>
        <w:t>W.A_______, née [...] le [...] 1979, et F.________, né le [...] 1970, se sont mariés le [...] 2009 à Aigle. Aucun enfant n'est issu de cette union. W.A_______ est la mère de deux enfants de pères brésiliens : - W.B_______, née le [...] 2002; - W.C_______, né le [...] 2005.</w:t>
      </w:r>
    </w:p>
    <w:p>
      <w:r>
        <w:rPr>
          <w:b/>
        </w:rPr>
        <w:t>E. 2</w:t>
      </w:r>
    </w:p>
    <w:p>
      <w:r>
        <w:t>F.________ est au bénéfice d'une rente simple de l'assurance invalidité (AI) d'un montant mensuel de 2'004 fr., ainsi que d'une rente d'invalidité LPP d'un montant de 1'515 fr. par mois. Ses revenus se montent ainsi à 3'519 fr. par mois. F.________ occupe le logement conjugal de 2 1/2 pièces sis [...], qu'il loue pour un loyer mensuel brut de 1'400 fr. depuis le 1 er avril 2007. Ses charges incompressibles, calculées selon les Lignes directrices du 1 er juillet 2009, sont les suivantes : - Base mensuelle (adulte vivant seul) : 1'200 fr. 00 - Loyer mensuel brut de l'appartement conjugal : 1'090 fr. 00 - Prime mensuelle d'assurance-maladie (après déduction du subside cantonal) : 135 fr. 90 Total : 2'425 fr. 90 Après déduction des charges mensuelles incompressibles, le disponible d'F.________ est de 1'093 fr. 10 (3'519 fr. – 2'425 fr. 90).</w:t>
      </w:r>
    </w:p>
    <w:p>
      <w:r>
        <w:rPr>
          <w:b/>
        </w:rPr>
        <w:t>E. 3</w:t>
      </w:r>
    </w:p>
    <w:p>
      <w:r>
        <w:t>W.A_______ travaille à temps partiel (50%) en qualité d'employée de maison à [...], et réalise à ce titre, après déduction des charges sociales, un revenu mensuel moyen de 3'300 fr, treizième salaire inclus. Elle a quitté le domicile conjugal avec ses enfants pour aller vivre dans un appartement de 3 pièces qu'elle loue depuis le 1 er août 2012 dans l'immeuble sis [...]. Ses charges incompressibles sont les suivantes : - Base mensuelle (débiteur monoparental) : 1'350 fr. 00 - Entretien des enfants (600 fr. + 400 fr.) : 1'000 fr. 00 - Loyer mensuel brut : 1'400 fr. 00 - Prime mensuelle d'assurance-maladie mère (après déduction du subside cantonal) : 93 fr. 20 - Prime d'assurance-maladie W.B_______ (après déduction du subside cantonal) : -3 fr. 50 - Prime d'assurance-maladie W.C_______ (après déduction du subside cantonal) : - 3 fr. 50 Total : 3'836 fr. 20 Après déduction des charges mensuelles incompressibles, il manque à W.A_______ un montant de l'ordre de 500 fr. (3'330 fr. – 3'836 fr. 20) pour équilibrer son minimum vital.</w:t>
      </w:r>
    </w:p>
    <w:p>
      <w:r>
        <w:rPr>
          <w:b/>
        </w:rPr>
        <w:t>E. 3.1</w:t>
      </w:r>
    </w:p>
    <w:p>
      <w:r>
        <w:t>L'appelant ne conteste pas les montants retenus au titre des revenus, du minimum vital et du déficit mensuel de l'intimée. Il admet même un déficit supérieur à celui retenu par le premier juge, soit 586 fr. 20  à la place de 536 fr. 20. Il adhère également aux montants retenus par le premier juge s'agissant de ses revenus et de son minimum vital. Cela étant, l'appelant conteste devoir assumer les frais liés aux enfants nés avant le mariage (art. 278 al. 2 CC; Code civil du 10 décembre 1907; RS 210), soutenant que les revenus de l'intimée suffiraient à couvrir son minimum vital si l'entretien des enfants de celle-ci n'était pas pris en considération. Il fait valoir que l'intimée a affirmé, sans apporter l'ombre d'une preuve, alors que ceci était requis, que la question de la contribution d'entretien du père des enfants était encore pendante devant les autorités brésiliennes. Selon l'appelant, le premier juge aurait dû exiger ce complément d'information pour ensuite statuer sur titre comme l'autorise l'art. 256 CPC. Il ajoute qu'il est peu probable, au regard des très fortes tensions entre les parties, que l'intimée, spontanément, informe son époux de nouvelles ressources financières.</w:t>
      </w:r>
    </w:p>
    <w:p>
      <w:r>
        <w:rPr>
          <w:b/>
        </w:rPr>
        <w:t>E. 3.2.1</w:t>
      </w:r>
    </w:p>
    <w:p>
      <w:r>
        <w:t>Le juge ordonne les mesures protectrices de l'union conjugale à la requête de l'une des parties et si la suspension de la vie commune est fondée. Il fixe, en application de l'art. 163 CC, le principe et le montant de la contribution d'entretien à verser par l'une des parties à l'autre selon l'art. 176 al. 1 ch. 1 CC. Le principe et le montant de la contribution d’entretien due selon l’art. 176 al. 1 ch. 1 CC se déterminent en fonction des facultés économiques et des besoins respectifs des époux (ATF 121 I 97 c. 3b; ATF 118 lI 376 c. 2b). Tant que dure le mariage, chacun des conjoints a le droit de participer de la même manière au train de vie antérieur; il incombe en principe au créancier de la contribution d’entretien de préciser les dépenses nécessaires au maintien de son train de vie et de les rendre vraisemblables (TF 5A_732/2007 du 4 avril 2008 c. 2.2). Tant que dure le mariage, c’est l’art. 163 aI. 1 CC qui constitue la cause de l’obligation d’entretien.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auquel sont ajoutées les dépenses non strictement nécessaires, l’excédent est en règle générale réparti par moitié entre eux (TF 5A_46/2009 du 22 mai 2009 c. 4; ATF 114 II 26), à moins que l'un des époux doive subvenir aux besoins d'enfants mineurs communs (ATF 126 III 8 c. 3c et les arrêts cités, JT 2000 I 29) ou que des circonstances importantes ne justifient de s’en écarter (ATF 119 II 314 c. 4b/bb). Selon la jurisprudence fédérale, lorsque les ressources disponibles ne suffisent pas à satisfaire les deux minima vitaux, il convient de préserver le minimum d'existence du débiteur d'entretien (ATF 123 III 1 c. 3b, JT 1998 I 39).</w:t>
      </w:r>
    </w:p>
    <w:p>
      <w:r>
        <w:rPr>
          <w:b/>
        </w:rPr>
        <w:t>E. 3.2.2</w:t>
      </w:r>
    </w:p>
    <w:p>
      <w:r>
        <w:t>Selon l'art. 278 al. 2 CC, chaque époux est tenu d'assister son conjoint de façon appropriée dans l'accomplissement de son obligation d'entretien envers les enfants nés avant le mariage. Cette disposition concrétise le devoir général d'assistance entre époux prévu à l'art. 159 al. 3 CC; le droit à cette assistance n'appartient dès lors qu'au parent de l'enfant, non à ce dernier lui-même (Hegnauer/Meier, Droit suisse de la filiation et de la famille, 4 ème éd., 1998, n. 20.08 p. 124). Le devoir d'assistance du beau-parent est toutefois subsidiaire, l'obligation d'entretien des parents envers leurs enfants communs étant prioritaire. Lorsque l'enfant vit auprès de sa mère et de son beau-père, il appartient au père biologique de supporter les coûts financiers de l'entretien de l'enfant; l'assistance du beau-père se résume à compenser une éventuelle différence entre la contribution d'entretien insuffisante du père biologique et les besoins de l'enfant et à supporter le risque lié à l'encaissement des contributions d'entretien (ATF 120 III 285 c. 2b, JT 1996 I 213).</w:t>
      </w:r>
    </w:p>
    <w:p>
      <w:r>
        <w:rPr>
          <w:b/>
        </w:rPr>
        <w:t>E. 3.3</w:t>
      </w:r>
    </w:p>
    <w:p>
      <w:r>
        <w:t>En l'espèce, l'appelant a allégué devant le premier juge que l'intimée, "mère de deux enfants de pères brésiliens, percevait deux pensions alimentaires, respectivement pour W.B_______ et W.C_______" (all. 52 des déterminations du 16 octobre 2012). A l'appui de cet allégué, il a requis la production par la partie adverse de "tout document attestant de l'obtention d'une pension alimentaire pour les enfants de W.A_______, W.B_______ et W.C_______" (pièce n° 156). Le 17 octobre 2012, le conseil de l'intimée a indiqué que la pièce requise 156 était inexistante, précisant que cette dernière n'avait jamais reçu une pension alimentaire pour ses deux enfants et que cette question faisait l'objet d'un procès au Brésil pour astreindre le père au paiement d'une contribution d'entretien. S'il estimait la réponse insuffisante, l'appelant aurait dû renouveler sa réquisition à l'audience du 18 octobre 2012, ce qu'il n'a pas fait. En définitive, aucun document n'a été produit à ce titre, ce qui indique a contrario que l'intimée ne perçoit aucune pension alimentaire. L'appelante n'avance aucun indice qui permettrait d'établir, même sous l'angle de la vraisemblance, que l'intimée perçoit effectivement des contributions d'entretien pour ses deux enfants, ce qu'il lui revenait pourtant de faire au vu de l'intitulé de l'allégué susmentionné. La réquisition de preuve ne concerne par ailleurs pas l'existence d'un procès pendant au Brésil s'agissant des contributions d'entretien ni le stade de l'avancement de la procédure, voire encore l'existence de mesures provisionnelles. En outre, cette question n'avait pas à être instruite d'office par le premier juge, seule la maxime inquisitoire sociale étant applicable en l'espèce. Au vu de ce qui précède, c'est à bon droit que le magistrat de première instance a pris en considération l'entretien des enfants du conjoint de l'appelant (art. 278 al. 2 CC) dans la détermination du minimum vital d'existence de l'épouse. Le prononcé rendu est ainsi exempt de tout reproche. 4. En conclusion, l'appel doit être rejeté dans la procédure de l'art. 312 al. 1 in fine CPC et le prononcé confirmé. L'appel était d'emblée dépourvu de toute chance de succès, de sorte que la requête d'assistance judiciaire de l'appelant doit être rejetée (art. 117 let. b CPC). La requête d'assistance judiciaire de l'intimée est sans objet, puisque celle-ci n'a pas été invitée à se déterminer. Les frais judiciaires de deuxième instance, arrêtés à 600 fr. (art. 65 al. 2 TFJC [Tarif des frais judiciaires du 28 septembre 2010; RSV 270.11.5]), sont mis à la charge de l'appelant qui succombe (art. 106 al. 1 CPC). Par ces motifs, la juge déléguée de la Cour d’appel civile du Tribunal cantonal, statuant à huis clos, en application de l'art. 312 al. 1 CPC, prononce : I. L’appel est rejeté. II. L'ordonnance est confirmée. III. La requête d'assistance judiciaire de l'appelant F.________ est rejetée. IV. La requête d'assistance judiciaire de l'intimée W.A_______ est sans objet. V. Les frais judiciaires de deuxième instance, arrêtés à 600 fr., sont mis à la charge de l'appelant F.________. VI. L'arrêt motivé est exécutoire. La juge déléguée : Le greffier : Du Le dispositif de l'arrêt qui précède est communiqué par écrit aux intéressés. Le greffier : Du L'arrêt qui précède, dont la rédaction a été approuvée à huis clos, est notifié en expédition complète, par l'envoi de photocopies, à : ‑ Me Laure Chappaz (pour F.________), ‑ Me Michel Dupuis (pour W.A_______).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Le greffier :</w:t>
      </w:r>
    </w:p>
    <w:p>
      <w:r>
        <w:rPr>
          <w:b/>
        </w:rPr>
        <w:t>E. 4</w:t>
      </w:r>
    </w:p>
    <w:p>
      <w:r>
        <w:t>Par requête de mesures protectrices de l'union conjugale adressée le 5 juillet 2012 au Président du Tribunal d'arrondissement de l'Est vaudois, W.A_______ a conclu en substance à ce que les parties soient autorisées à vivre séparées pour une durée indéterminée (I), à ce que la jouissance de l'appartement conjugal lui soit confiée, à charge pour elle d'en supporter les loyers et les frais (II), à ce que l'intimé contribue à son entretien par le versement d'une contribution fixée à dire de justice (III), et à ce qu'ordre soit donné à l'intimé de quitter le domicile conjugal dans le délai qui sera donné par la décision à intervenir (IV). Le 12 octobre 2012, F.________ a requis en mains de W.A_______ la production des pièces n° 151 à 159, notamment la pièce n° 156 dont l'intitulé est le suivant : "Tout document attestant de l'obtention d'une pension alimentaire pour les enfants de W.A_______, W.B_______ et W.C_______". Par ordonnance rendue le même jour, le Président du Tribunal de l'arrondissement de l'Est vaudois a requis la production par la requérante des pièces n° 151 à 159 susmentionnées. Dans ses déterminations du 16 octobre 2012, F.________ a adhéré à la conclusion I de la requête du 5 juillet 2012, conclu au rejet des conclusions II à IV de cette requête et conclu reconventionnellement à ce que la jouissance de l'appartement conjugal lui soit attribuée, à charge pour lui d'en payer le loyer et les frais. Le 17 octobre 2012,               W.A_______ s'est déterminée sur le procédé du 16 octobre 2012 d'F.________ en confirmant les conclusions prises dans sa requête du 5 juillet 2012. Elle a en outre indiqué dans un courrier daté du même jour relatif à la réquisition de pièces ordonnée le 12 octobre 2012 que la pièce requise n° 156 était inexistante ("deest").</w:t>
      </w:r>
    </w:p>
    <w:p>
      <w:r>
        <w:rPr>
          <w:b/>
        </w:rPr>
        <w:t>E. 5</w:t>
      </w:r>
    </w:p>
    <w:p>
      <w:r>
        <w:t>Par requête de mesures superprovisionnelles du 25 juillet 2012, l'intimé F.________ a conclu à ce qu'ordre soit donné à [...], de procéder au blocage immédiat de tous les moyens d'accès au bénéfice de W.A_______, relatifs au compte n° [...] dont F.________ est le titulaire (I), à ce qu'interdiction soit faite à W.A_______, sous la menace des peines de l'art. 292 CP, d'opérer, dès ce jour, tout prélèvement d'argent à partir de ce compte (II) et à ce qu'ordre soit donné à W.A_______, sous la menace des peines de l'art. 292 CP, de déposer, dans les vingt quatre heures, au greffe du Tribunal d'arrondissement de l'Est vaudois, tous les moyens en sa possession, établis en son nom ou au nom d'F.________, lui permettant d'accéder à ce compte (III). Par ordonnance de mesures superprovisionnelles du 25 juillet 2012, le Président du Tribunal d'arrondissement de l'Est vaudois a interdit à W.A_______, sous la menace de l'art 292 CPC (recte : art. 292 CP), d'opérer dès ce jour tout prélèvement d'argent à partir du compte [...] dont F.________ est titulaire auprès de la banque [...] (I), déclaré l'ordonnance immédiatement exécutoire et dit qu'elle restera en vigueur jusqu'à droit connu sur la requête de mesures protectrices de l'union conjugale (II) et enfin rejeté toutes autres ou plus amples conclusions (III).</w:t>
      </w:r>
    </w:p>
    <w:p>
      <w:r>
        <w:rPr>
          <w:b/>
        </w:rPr>
        <w:t>E. 6</w:t>
      </w:r>
    </w:p>
    <w:p>
      <w:r>
        <w:t>A l'audience du 18 octobre 2012 du Président du Tribunal d'arrondissement de l'Est vaudois, la conciliation a abouti partiellement comme il suit : "I. Parties conviennent de vivre séparées pour une durée indéterminée dès le 1 er août 2012. II. Parties se sont d'ores et déjà constituées des appartements séparés." En droit : 1. L'appel est recevable contre les prononcés de mesures protectrices de l'union conjugale, qui doivent être considérés comme des décisions provisionnelles au sens de l'art. 308 al. 1 let. b CPC (Tappy, Les voies de droit du nouveau Code de procédure civile, JT 2010 III 121). L'appel est recevable dans les causes non patrimoniales ou dont la valeur litigieuse, au dernier état des conclusions, est supérieure à 10'000 francs (art. 308 al. 2 CPC). En se référant au dernier état des conclusions, l'art. 308 al. 2 CPC vise les conclusions litigieuses devant l'instance précédente, non l'enjeu de l'appel (Tappy, op. cit., JT 2010 III 126). S'agissant de prestations périodiques, elles doivent être capitalisées suivant la règle posée par l'art. 92 al. 2 CPC. Les prononcés de mesures protectrices étant régis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qui, capitalisées selon l'art. 92 al. 2 CPC, sont supérieures à 10'000 fr., le présent 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Tappy, op. cit., JT 2010 III 134 à 136).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aux parties de démontrer que ces conditions sont réalisées, de sorte que l'appel doit indiquer spécialement les faits et preuves nouveaux et motiver spécialement les raisons qui les rendent admissibles selon lui (JT 2011 III 43).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JT 2011 III 43). En l'espèce, le dossier est complet et le jugement retient les faits essentiels pour l'examen de la cause en appel. Au surplus, seule la maxime inquisitoire sociale est applicable en l'espèce (art. 272 CPC), à défaut d'enfant mineur commun.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