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298 vom 29. April 2013</w:t>
      </w:r>
    </w:p>
    <w:p>
      <w:r>
        <w:t>VD Tribunal cantonal, 2013-04-29, FR</w:t>
      </w:r>
    </w:p>
    <w:p>
      <w:r>
        <w:rPr>
          <w:b/>
        </w:rPr>
        <w:t xml:space="preserve">Quelle: </w:t>
      </w:r>
      <w:r>
        <w:t>https://mcp.opencaselaw.ch/entscheid/vd_findinfo_HC___2013___298</w:t>
      </w:r>
    </w:p>
    <w:p>
      <w:r>
        <w:t>FR: VD_FINDINFO HC / 2013 / 298 du 29 avril 2013</w:t>
      </w:r>
    </w:p>
    <w:p>
      <w:r>
        <w:t>IT: VD_FINDINFO HC / 2013 / 298 del 29 aprile 2013</w:t>
      </w:r>
    </w:p>
    <w:p>
      <w:pPr>
        <w:pStyle w:val="Heading2"/>
      </w:pPr>
      <w:r>
        <w:t>Regeste</w:t>
      </w:r>
    </w:p>
    <w:p>
      <w:r>
        <w:t>MESURE PROVISIONNELLE, BASE DU REVENU, MODIFICATION{EN GÉNÉRAL} | 179 al. 1 CC, 308 al. 2 CPC (CH), 312 al. 1 CPC (CH)</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3.1</w:t>
      </w:r>
    </w:p>
    <w:p>
      <w:r>
        <w:t>L'appelant fait grief au premier juge d'avoir mal évalué sa situation financière, qui n'a fait que de se dégrader à la suite des graves difficultés rencontrées par lui-même à titre personnel et par l'entreprise [...], de sorte qu'il n'est plus en mesure, sauf à entamer son minimum vital, de s'acquitter de la contribution d'entretien mensuelle de 4'700 fr. due aux siens. 3.2.1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3.2.2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Le principe du clean break ne joue par conséquent aucun rôle dans le cadre des mesures provisionnelles. De même, à lui seul, le fait que l'épouse dispose d'un disponible après couverture de son minimum vital n'est pas décisif non plus (TF 5A_228/2012 du 11 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 er décembre 2011 c. 5.1.; TF 5A_228/2012 du 11 juin 2012 c. 4.3).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 ATF 137 III 604 c. 4.1.1).</w:t>
      </w:r>
    </w:p>
    <w:p>
      <w:r>
        <w:rPr>
          <w:b/>
        </w:rPr>
        <w:t>E. 3.3</w:t>
      </w:r>
    </w:p>
    <w:p>
      <w:r>
        <w:t>En l'espèce, l'appelant soutient que la société [...], dont il est le propriétaire économique, est en situation critique depuis de longs mois, qu'elle fait l'objet d'une procédure de faillite dont il ignore si elle sera révoquée ou non et qu'il a été contraint en conséquence de baisser son salaire de 8'500 fr. à 4'000 francs. Il fait également état de poursuites personnelles. Or, les pièces produites et requises auprès des divers établissements bancaires et postaux auprès desquels le débiteur a des comptes font état d'innombrables transferts de la société sur les comptes privés de l’appelant, de plus de 9'000 fr. par mois entre les mois de novembre 2011 et août 2012, et de dépenses du même ordre, à quoi il faut ajouter le montant de 2'800 fr. par mois payé « cash » pour le loyer, la réserve « cash » dans un coffre-fort que l'appelant admet détenir, des titres bancaires et des paiements, de l’ordre de 1'600 fr. par mois, par l'entremise de cartes de crédit soit-disant bloquées. Ces éléments illustrent un train de vie parfaitement incompatible avec la situation soutenue. On notera encore que la pension dont la modification est requise avait été calculée sur la base d’un revenu mensuel de 8'560 fr., que l’appelant prétend s'engager à servir une pension de 2'000 fr. par mois, alors qu'il n'a pas versé un centime pour l'entretien des siens depuis le 2 février 2012, et qu'il prétend ignorer quel sort sera réservé à sa société alors même que la révocation de la faillite de [...] a été prononcée douze jours avant le dépôt de l'appel. Pour le surplus, il n'apparaît pas que l'appelant assume actuellement de nouvelles et importantes charges par rapport à celles qui existaient en 2011. Dans ces circonstances, il n'est pas établi, fût-ce au degré de la vraisemblance, que la situation financière de l'appelant se soit péjorée dans une notable mesure, en dépit des difficultés de la société, en tout cas pas au point de justifier une réduction de la contribution d’entretien. Partant, l'allégation de l'appelant tendant à démontrer que l'autorité inférieure aurait violé l'art. 179 CC est infondée.</w:t>
      </w:r>
    </w:p>
    <w:p>
      <w:r>
        <w:rPr>
          <w:b/>
        </w:rPr>
        <w:t>E. 4</w:t>
      </w:r>
    </w:p>
    <w:p>
      <w:r>
        <w:t>Au vu de ce qui précède, l'appel doit être rejeté dans la procédure de l'art. 312 al. 1 CPC et l'ordonnance confirmée. Les frais judiciaires de deuxième instance, arrêtés à 600 fr. (art. 65 al. 2 TFJC [tarif des frais judiciaires civils du 28 septembre 2010, RSV 270.11.5]), seront mis à la charge de l'appelant qui succombe. L'intimée n'ayant pas été invitée à se déterminer, il n'y a pas lieu à l'allocation de dépens.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K.________. IV. L'arrêt motivé est exécutoire. La juge déléguée : Le greffier : Du L'arrêt qui précède, dont la rédaction a été approuvée à huis clos, est notifié en expédition complète, par l'envoi de photocopies, à : ‑ Me Jacques Michod (pour K.________), ‑ Me Jean-Philippe Heim (pour G.________).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