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297 vom 23. April 2013</w:t>
      </w:r>
    </w:p>
    <w:p>
      <w:r>
        <w:t>VD Tribunal cantonal, 2013-04-23, FR</w:t>
      </w:r>
    </w:p>
    <w:p>
      <w:r>
        <w:rPr>
          <w:b/>
        </w:rPr>
        <w:t xml:space="preserve">Quelle: </w:t>
      </w:r>
      <w:r>
        <w:t>https://mcp.opencaselaw.ch/entscheid/vd_findinfo_HC___2013___297</w:t>
      </w:r>
    </w:p>
    <w:p>
      <w:r>
        <w:t>FR: VD_FINDINFO HC / 2013 / 297 du 23 avril 2013</w:t>
      </w:r>
    </w:p>
    <w:p>
      <w:r>
        <w:t>IT: VD_FINDINFO HC / 2013 / 297 del 23 aprile 2013</w:t>
      </w:r>
    </w:p>
    <w:p>
      <w:pPr>
        <w:pStyle w:val="Heading2"/>
      </w:pPr>
      <w:r>
        <w:t>Regeste</w:t>
      </w:r>
    </w:p>
    <w:p>
      <w:r>
        <w:t>PROTECTION DE L'UNION CONJUGALE, OBLIGATION D'ENTRETIEN, CONDITION DE RECEVABILITÉ, CONCLUSIONS, REVENU HYPOTHÉTIQUE | 176 al. 1 ch. 1 CC, 308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et le dépôt de la réponse, est de dix jours (art. 314 al. 1 CPC). L'appel est de la compétence du juge unique (art. 84 al. 2 LOJV [loi d'organisation judiciaire du 12 décembre 1979, RSV 173.01]). b/aa) Selon l’art. 311 al. 1 CPC, l’appel doit être motivé. Cela signifie que l’appelant a le fardeau d’expliquer les motifs pour lesquels le jugement attaqué doit être annulé et modifié, par référence à l’un et/ou l’autre des motifs prévus à l’art. 310 CPC. La maxime inquisitoire et la maxime d’office ne dispensent pas l’appelant de motiver correctement (Jeandin, CPC commenté, n.3 ad art. 311 CPC ; TF 5C.14/2005 du 11 avril 2005, c. 1.2). L’instance supérieure doit pouvoir comprendre ce qui est reproché au premier juge sans avoir à rechercher des griefs par elle-même, ce qui exige une certaine précision quant à l’énoncé et à la discussion des griefs (Jeandin, op. cit., n. 3 ad art. 311 CPC ; Chaix, Introduction au recours de la nouvelle procédure civile fédérale, SJ 2009 II 257 ss, spéc. p. 262 à 265). De même, compte tenu du fait que l’appel ordinaire a un effet réformatoire, l’appelant ne peut se limiter à conclure à l’annulation de la décision attaquée mais doit, au contraire, prendre des conclusions au fond permettant à l’instance d’appel, le cas échéant, de statuer à nouveau (Jeandin, op. cit., n. 4 ad art. 311 CPC ; TF 4D_71/2007 du 7 février 2008, RSPC 2008 392 ; TF 5A_603/2008 du 14 novembre 2008, RSPC 2009 190). Ce principe prévaut aussi lorsque la procédure est gouvernée par la maxime d’office (Jeandin, op. cit., n. 4 ad art. 311 CPC). Un défaut de motivation ou des conclusions déficientes ne constituent pas des vices de formes, qui peuvent être rectifiés selon l’art. 132 al. 1 CPC (Jeandin, op. cit., n.5 ad art. 311 CPC). bb) En l’occurrence, l’appelant prend une conclusion principale qui tend à ce que l’intimée soit déboutée de toutes ses conclusions, et une conclusion subsidiaire tendant à ce que la contribution d’entretien soit réduite à 5'750 fr. par mois. Si la conclusion principale peut être interprétée implicitement comme une conclusion générale portant sur tous les chiffres du prononcé querellé, soit l’autorisation des époux de vivre séparés, l’attribution de la garde sur l’enfant à la mère, l’exercice du droit de visite par le père et l’attribution du logement conjugal, l’appelant ne fait valoir et ne développe aucun grief à l’appui de cette conclusion. Il invoque uniquement des griefs relatifs à la conclusion subsidiaire, tendant à la modification de la contribution d’entretien. Par ailleurs, seule la conclusion subsidiaire est formulée de telle sorte que le juge de céans peut statuer à nouveau sur le fond. c) Formé en temps utile par une partie qui y a intérêt et portant sur des conclusions patrimoniales qui, capitalisées selon l'art. 92 al. 2 CPC, sont supérieures à 10'000 fr., le présent appel est recevable, dans la mesure où il porte sur la réforme du prononcé querellé en son chiffre V., relatif à la contribution d’entretien. La réponse, déposée dans le délai de dix jours imparti à cet effet, est également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b/aa)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bb)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n. 2410 p. 437). Une solution plus souple peut être envisagée lorsque la cause est en outre régie par la maxime d’office, par exemple sur la situation des enfants mineurs en droit matrimonial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cc) En l’espèce, les pièces produites par l’appelant sont recevables, puisque la présente cause touche également un enfant mineur. Quant aux mesures d’instruction requises par l’intimée aux fins de clarifier la situation financière de l’appelant, il ne se justifie pas de les ordonner. En effet, les pièces produites au dossier permettent d’établir le revenu de ce dernier.</w:t>
      </w:r>
    </w:p>
    <w:p>
      <w:r>
        <w:rPr>
          <w:b/>
        </w:rPr>
        <w:t>E. 3</w:t>
      </w:r>
    </w:p>
    <w:p>
      <w:r>
        <w:t>a) L’appelant invoque une constatation inexacte des faits, tant en ce qui concerne sa situation financière que celle de l’intimée, estimant que la contribution d’entretien est fixée de façon disproportionnée par rapport aux dépenses assumées par l’intimée et sa fille. Pour sa part, l’intimée relève que les revenus de l’appelant seraient supérieurs à ce qu’a retenu le premier juge et que le montant prétendûment versé par l’appelant à son frère à titre de remboursement est une dette subsidiaire à ses obligations familiales. b) Dans le cadre de mesures provisionnelles ou de mesures protectrices de l'union conjugale, le juge statue sur la base de la simple vraisemblance après une administration limitée des preuves (ATF 120 Il 352 c. 2b), en se fondant sur les moyens de preuve immédiatement disponibles (ATF 131 III 473 c. 2.3 in limine ; TF 5A_497/2011 du 5 décembre 2011 c. 3.2; TF 5A_41/2011 du 10 août 2011 c. 4.2 in fine ; TF 5A_4/ 2011 du 9 août 2011 c. 3.2; TF 5A_720/2009 du 18 janvier 2010 c. 5.3). c/aa) En l’espèce, l’appelant invoque percevoir un salaire mensuel de 15'104 fr., après déduction de la prévoyance professionnelle, des primes d’assurance maladie et du loyer de son logement, lesquels sont réglés directement par son employeur. Selon lui, la perception d’un bonus n’est pas garantie, dans la mesure où elle dépend de la réalisation de ses objectifs, de ceux de la société et des finances de celle-ci. Les pièces du dossier montrent que l’appelant a perçu, en 2012, un bonus pour l’année 2011, que, en 2011, il a perçu un bonus pour l’année 2010 et que, en 2010, il a perçu un bonus pour l’année 2009. C’est dès lors à juste titre que le premier juge a retenu le bonus pour l’année 2011 pour calculer le revenu mensuel de l’appelant pour l’année 2012, qui est de 19'404 fr. 30 après déduction des trois postes précités. Certes, on ignore si l’appelant percevra en 2013 un bonus pour l’année 2012. Toutefois, ce dernier ne prétend pas que tel ne serait pas le cas. On constate d’ailleurs que la moyenne des trois bonus, perçus pour les exercices précédents, est de 69'957 fr. brut (78'853 fr. + 70’809 fr. + 60'209 fr.), de sorte que le bonus perçu pour l’année 2011 à hauteur de 60'209 fr. brut (52'682 fr. net) n’est pas exceptionnel. Il apparaît ainsi vraisemblable que le salaire mensualisé de l’appelant pour l’année 2013, comprenant le futur bonus pour l’année 2012, sera identique au salaire mensuel perçu pour l’année 2012. bb) Concernant les charges mensuelles de l’appelant, ce dernier a produit des factures qui justifieraient, selon lui, des dépenses à hauteur de 20'134 fr. par mois. De cette liste, le premier juge a retenu 1'200 fr. à titre de minimum vital, 150 fr. pour l’exercice du droit de visite, 338 fr. pour les frais de la maison (frais d’électricité et de taxes diverses), 215 fr. d’impôts, 944 fr. pour les frais de véhicule, 1'337 fr. de frais de leasing, 750 fr. pour l’argent de poche et les frais de repas de sa fille, et 250 fr. pour les cours de mathématiques de celle-ci. Il a ainsi retenu un montant de 5'184 fr. à titre de dépenses assumées chaque mois par l’appelant. En revanche, il a exclu des frais courants, tels que frais de téléphone/téléréseau, d’assurances protection juridique et RC ménage, de médicaments hors franchise, ainsi que des frais relatifs à trois postes plus importants, tels que les montants mensuels de 4'167 fr. relatifs au remboursement d’une dette privée, de 1'000 fr. pour l’entretien de sa fille et de 4'000 fr. correspondant à des frais d’habillement, de repas, etc. pour lui-même. Pour ce qui concerne les frais courants, leur exclusion n’est pas critiquable, dans la mesure où ces frais n’ont également pas été comptés pour l’intimée et sont compris dans le minimum vital. Concernant le montant de 4'167 fr. destiné au remboursement d’une dette privée, c’est également à juste titre que le premier juge n’en a pas tenu compte. En effet,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En outre, seules les charges effectives, dont le débirentier s'acquitte réellement, doivent être prises en compte (ATF 121 III 20 c. 3a; ATF 126 III 89 c. 3b; TF 5A_236/2011 du 18 octobre 2011 c. 4.1.3). En l’occurrence, on ignore si ce montant a été effectivement versé au frère chaque mois ou si l’éventuel versement de ce montant ne sert pas plutôt l’intérêt de l’appelant uniquement ; en outre, la reconnaissance de dette notariée ne repose que sur des déclarations entre frères. L’appelant n’a ainsi pas rendu suffisamment vraisemblable l’existence d’une dette contractée aux fins de l’entretien des deux époux. De surcroît, les créances alimentaires sont prioritaires, l’obligation d’entretien étant une obligation légale qui grève le patrimoine des parents (ATF 132 III 359, JT 2006 I 295, c. 4.1). Dans la mesure où un montant de 600 fr. est retenu à titre de minimum vital pour l’enfant dans les charges de l’intimée, il incombe à cette dernière d’assumer l’entretien de sa fille, sous réserve des frais destinés aux leçons de mathématiques à raison de 250 fr. et de l’argent de poche et des frais de bouche à hauteur de 750 fr. C’est donc à juste titre que le premier juge n’a pas retenu un montant supplémentaire de 750 fr. pour l’entretien de sa fille. Pour ce qui concerne les frais relatifs au train de vie de l’appelant (habillement, repas, etc.) allégués par celui-ci à hauteur de 4'000 fr., il est équitable de s’en tenir au minimum vital de 1'200 fr., dans la mesure où le premier juge a retenu un minimum vital de 1'350 fr. pour l’intimée, au lieu des 2'000 fr. devisés par cette dernière pour son train de vie. cc) Quant aux charges mensuelles de l’intimée, l’appelant conteste le montant de 2'000 fr. retenu à titre d’impôt. Il fait valoir un montant inférieur, résultant d’un calcul simulé de l’impôt tenant compte d’une contribution d’entretien de 5'050 fr. par mois. Ce montant n’est toutefois pas vraisemblable, contrairement au montant de 2'000 fr. retenu par le premier juge. De surcroît, dans la mesure où le premier juge a retenu un montant destinés aux impôts, certes très favorable, dans les charges de l’appelant, il se justifie de retenir un tel montant également dans les charges de l’intimée. Par conséquent, comme l’a retenu le premier juge et en appliquant les mêmes critères aux deux époux pour le calcul de leurs charges, les revenus de l’appelant s’élèvent à 19'404 fr. 30 pour des charges de 5'184 fr., étant rappelé que ce dernier ne paie que très peu d’impôts, que son loyer et les primes d’assurance maladie pour la famille sont compris dans ce salaire. Quant aux charges de l’intimée, elles s’élèvent à 7'050 fr. Ainsi, les griefs de l’appelant quant à une constatation inexacte des faits par le premier juge sont infondés.</w:t>
      </w:r>
    </w:p>
    <w:p>
      <w:r>
        <w:rPr>
          <w:b/>
        </w:rPr>
        <w:t>E. 4</w:t>
      </w:r>
    </w:p>
    <w:p>
      <w:r>
        <w:t>a) L’appelant fait valoir une violation du droit, estimant que l’intimée devrait subvenir seule à ses propres besoins, dans la mesure où elle peut retrouver du travail. Contestant ce grief, l’intimée explique que ses recherches d’emploi sont restées vaines jusqu’à ce jour. b/aa) Dans le cadre de mesures protectrices de l’union conjugale, le juge fixe la contribution pécuniaire qui est à verser par l'une des parties à l'autre selon  l’art. 176 al. 1 ch. 1 CC (Code civil du 10 décembre 1907, RS 210). Le juge doit partir de la convention, expresse ou tacite, que les époux ont conclue au sujet de la répartition des tâches et des ressources entre eux (art. 163 al. 2 CC), l'art. 163 CC demeurant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La prise en considération des critères applicables à l'entretien après divorce ne signifie pas que le juge des mesures protectrices de l’union conjugale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 TF 5A_502/2010 du 25 juillet 2011 c 3.2.1., in FamPra.ch 2011 no 67 p. 993 ; TF 5A_591/2011 du 7 décembre 2011 c. 4.1.1 et réf. ; TF 5A 522/2011 du 18 janvier 2012 c. 4.1). Le principe du clean break ne joue par conséquent aucun rôle dans le cadre des mesures protectrices de l’union conjugale.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(ATF 119 II 314 c. 4b/aa; TF 5A_453/2009 du 9 novembre 2009 c. 5.2 ), la fixation de la contribution d'entretien ne devant pas anticiper sur la liquidation du régime matrimonial.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Même en cas de situations financières favorables,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(TF 5A_323/2012 du 8 août 2012 c. 5.1; TF 5A_860/2011 du 11 juin 2012 c. 5.1; cf. pour une contribution après divorce : ATF 137 III 102 c. 4.2.1.1).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 en faveur de l'épouse et 40 % pour l'époux, voire par 2/3 – 1/3 échappe dans un tel cas à la critique (TF 5A_236/2011 du 18 octobre 2011 c. 4.2.5). bb) Concernant la possibilité d’un époux de subvenir à ses propres besoins, il ressort de la jurisprudence que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Toutefois, en matière de divorce, l’impact du mariage sur la vie des époux doit également être pris en considération. Il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 mariages d'une durée de moins de cinq ans (mariages courts) et ceux de plus de dix ans (mariages longs). Dans ces derniers cas, il existe une présomption de fait respectivement de l'absence ou de l'existence d'un impact décisif du mariage sur la vie des époux (ATF 135 III 59 cf. 4.1). A cet égard est décisive la durée du mariage jusqu'à la séparation effective (ATF 132 III 598 c. 9.2). La jurisprudence retient également que, indépendamment de sa durée, un mariage influence concrètement la situation des conjoints lorsque ceux-ci ont des enfants communs (ATF 135 III 59 c. 4.1.; TF 5A_214/2009 du 27 juillet 2009 c. 3.2., in FamPra.ch 2009 p. 1051; TF 5A_95/2012 du 28 mars 2012 c. 3, in FamPra.ch 2012 p. 761 s'agissant d'un mariage ayant duré à peine deux ans). Une présomption de fait existe selon laquelle il est déraisonnable d'exiger la reprise d'une activité lucrative au-delà de l'âge de 45 ans, mais cette limite d'âge ne doit pas être considérée comme une règle stricte (ATF 137 III 102 c. 4.2.2.1 et réf.). Toutefois, après un mariage de 20 ans, avec un âge avancé et une santé fragile, les chances de l'ex-épouse sur le marché du travail sont restreintes, même avec une bonne formation (TF 5A_679/2007 du 13 octobre 2008 reproduit in FamPra.ch 2009, p. 198). c) En l’espèce, l’appelant ne conteste pas l’application de la méthode du minimum vital élargi. Néanmoins, malgré ses propres propos selon lesquels, au stade des mesures protectrices de l’union conjugale, l’on ne saurait présumer la séparation des parties comme issue du litige de la place pour la discussion et la tendresse existant encore au sein du couple, il estime que son épouse pourrait subvenir à ses propres besoins aux fins d’assumer les conséquences de son désir d’indépendance. Or, si les critères applicables à l’entretien après le divorce peuvent être pris en considération dans le cadre d’une suspension de vie commune, le principe du clean break est exclu. De même, si l’hypothèse d’imputer un revenu hypothétique à l’intimée, créancière de la contribution d’entretien peut être envisagée, il est déraisonnable, au vu de la jurisprudence précitée, d’exiger de cette dernière, âgée de 52 ans, la reprise d’une activité lucrative. De plus, le mariage des parties, d’une durée de plus de vingt ans, est présumé avoir eu un impact décisif sur la vie de l’intimée, cela d’autant plus que les époux ont d’abord vécu en France, puis en Suisse, pendant leur mariage et que cette dernière a la charge d’une fille aux études née de son mariage avec l’appelant. Ce dernier ne s’est d’ailleurs pas opposé à ce que son épouse entreprenne une formation dans le domaine floral, nonobstant une formation précédente. L’on ne peut dès lors pas raisonnablement exiger de l’intimée qu’elle reprenne aujourd’hui une activité rémunérée. Quant aux frais d’écolage de l’enfant B.T.________ liés à l’école hôtelière de Lausanne, il ne peuvent être retenus à ce jour. Seules les charges effectives doivent être prises en considération. Or, elle ne commencera cette formation qu’en février 2014, pour autant qu’elle ne change pas d’avis et soit admise dans cette école.</w:t>
      </w:r>
    </w:p>
    <w:p>
      <w:r>
        <w:rPr>
          <w:b/>
        </w:rPr>
        <w:t>E. 5</w:t>
      </w:r>
    </w:p>
    <w:p>
      <w:r>
        <w:t>Au vu de ce qui précède, l’appel doit être rejeté et le prononcé de mesures protectrices de l’union conjugale attaqué doit être confirmé.</w:t>
      </w:r>
    </w:p>
    <w:p>
      <w:r>
        <w:rPr>
          <w:b/>
        </w:rPr>
        <w:t>E. 6</w:t>
      </w:r>
    </w:p>
    <w:p>
      <w:r>
        <w:t>Les frais judiciaires de deuxième instance, arrêtés à 2'000 fr., seront mis à la charge de l’appelant, qui succombe (art. 106 al. 1 CPC ; [tarif des frais judiciaires civils du 28 septembre 2010, RSV 270.11.5]). L’appelant versera 1'500 fr. à l’intimée, à titre de dépens (art. 37 al. 2 CDPJ [Code de droit privé judiciaire du 12 janvier 2010, RSV 211.02]). Par ces motifs, le juge délégué de la Cour d’appel civile du Tribunal cantonal, statuant à huis clos, prononce : I. L'appel est rejeté. II. Le prononcé est confirmé. III. Les frais judiciaires de deuxième instance, arrêtés à 2'000 fr. (deux mille francs) sont mis à la charge de l'appelant A.T.________, qui succombe. IV. L'appelant doit verser à l'intimée S.________ la somme de 1'500 fr. (mille cinq cents francs) à titre de dépens de deuxième instance. V. L'arrêt motivé est exécutoire. Le juge délégué : La greffière : Du 24 avril 2013 Le dispositif de l'arrêt qui précède est communiqué par écrit aux intéressés. La greffière : Du L'arrêt qui précède, dont la rédaction a été approuvée à huis clos, est notifié en expédition complète, par l'envoi de photocopies à : ‑ Me Serge Fasel (pour A.T.________), ‑ Me Violaine Jaccottet Sherif (pour S.________). Le juge délégué de la Cour d’appel civile considère que la valeur litigieuse est supérieure à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