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291 vom 15. April 2013</w:t>
      </w:r>
    </w:p>
    <w:p>
      <w:r>
        <w:t>VD Tribunal cantonal, 2013-04-15, FR</w:t>
      </w:r>
    </w:p>
    <w:p>
      <w:r>
        <w:rPr>
          <w:b/>
        </w:rPr>
        <w:t xml:space="preserve">Quelle: </w:t>
      </w:r>
      <w:r>
        <w:t>https://mcp.opencaselaw.ch/entscheid/vd_findinfo_HC___2013___291</w:t>
      </w:r>
    </w:p>
    <w:p>
      <w:r>
        <w:t>FR: VD_FINDINFO HC / 2013 / 291 du 15 avril 2013</w:t>
      </w:r>
    </w:p>
    <w:p>
      <w:r>
        <w:t>IT: VD_FINDINFO HC / 2013 / 291 del 15 aprile 2013</w:t>
      </w:r>
    </w:p>
    <w:p>
      <w:pPr>
        <w:pStyle w:val="Heading2"/>
      </w:pPr>
      <w:r>
        <w:t>Regeste</w:t>
      </w:r>
    </w:p>
    <w:p>
      <w:r>
        <w:t>MODÉRATION, AVOCAT, HONORAIRES | 45 al. 1 LPAv, 50 al. 1 LPAv, 51 al. 1 LPAv</w:t>
      </w:r>
    </w:p>
    <w:p>
      <w:pPr>
        <w:pStyle w:val="Heading2"/>
      </w:pPr>
      <w:r>
        <w:t>Erwägungen</w:t>
      </w:r>
    </w:p>
    <w:p>
      <w:r>
        <w:rPr>
          <w:b/>
        </w:rPr>
        <w:t>E. 1</w:t>
      </w:r>
    </w:p>
    <w:p>
      <w:r>
        <w:t>a) Selon l'art. 50 LPAv (loi vaudoise sur la profession d'avocat du 24 septembre 2002,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al. 1 LPAv, la décision de modération peut faire l'objet d'un recours. Celui-ci doit être adressé à la Chambre des recours civile du Tribunal cantonal (art. 73 al. 2 LOJV [loi d'organisation judiciaire du 12 septembre 1979, RSV 173.01]). L'art. 51 al. 2 LPav précise que le délai de recours est de trente jours dès la notification de la décision et que la procédure est régie par la LPA-VD (loi sur la procédure administrative du 28 octobre 2008, RSV 173.36). L'acte de recours doit être signé et indiquer les conclusions et motifs du recours (art. 79 al. 1 LPA-VD, applicable par renvoi de l'art. 99 al. 1 LPA-VD; Jomini, Les honoraires et débours de l'avocat vaudois et leur modération, in JT 1982 III 2 ss, spéc. n. 4, p. 4). b) En l'espèce, le prononcé de modération a été notifié aux parties le 15 janvier 2013 et reçu par le recourant le 23 janvier suivant. Remis à la poste le 20 février 2013, soit en temps utile, par une partie qui a intérêt au recours (art. 75 al. 1 LPA-VD), le recours est recevable.</w:t>
      </w:r>
    </w:p>
    <w:p>
      <w:r>
        <w:rPr>
          <w:b/>
        </w:rPr>
        <w:t>E. 2</w:t>
      </w:r>
    </w:p>
    <w:p>
      <w:r>
        <w:t>Selon l'art. 76 al. 1 LPA-VD, la partie recourante peut invoquer la violation du droit, y compris l'excès ou l'abus du pouvoir d'appréciation (a), la constatation inexacte ou incomplète de faits pertinents (b) et l'inopportunité (c). Le recourant ne peut prendre des conclusions qui sortent du cadre fixé par la décision attaquée. Il peut en revanche présenter des allégués et des moyens de preuve qui n'ont pas été invoqués jusque là (art. 79 al. 2 LPA-VD). La Chambre des recours dispose d'un libre pouvoir d'examen en fait et en droit (JT 2006 III 38 c. 2a; JT 2003 III 67 c. 1d). En cas d'admission du recours, elle réforme la décision attaquée ou l'annule; s'il y a lieu, elle renvoie l'affaire à l'autorité intimée (art. 90 al. 1 LPA-VD).</w:t>
      </w:r>
    </w:p>
    <w:p>
      <w:r>
        <w:rPr>
          <w:b/>
        </w:rPr>
        <w:t>E. 3</w:t>
      </w:r>
    </w:p>
    <w:p>
      <w:r>
        <w:t>a) Le recourant considère que l’avocat Z.________ n’a pas effectué de travail dans son dossier, si bien qu’il ne saurait être rémunéré. b) Selon l’art. 45 al. 1 LPAv, l’avocat a droit à des honoraires fixés en tenant compte du temps consacré à l’exécution du mandat, des difficultés et des délais d’exécution, de l’importance des intérêts en cause, du résultat obtenu et de son expérience.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TF 4P.342/2006 du 5 mars 2007 et les arrêts cités).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lI 29 novembre 2010/243 et les réf. citées).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les réf. citées; Bohnet/Martenet, Droit de la profession d’avocat, 2009, n. 3002, pp. 1184 s.).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nn. 424 et 440 ad art. 394 CO, p. 190 et p. 193). En cas de contestation des heures facturées, il appartient au mandataire de démontrer leur réalité; le mandant n’ayant en principe rien à prouver. La preuve ne résulte pas déjà du fait que l’avocat a fait parvenir une note d’honoraires à son mandant ou de ce que cette note n’a pas été contestée pendant un certain temps (TF P.489/1979 du 12 mars 1980, publié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 1169 s.). c) Il ressort de l'état de fait du prononcé entrepris, conforme aux pièces du dossier, que les questions juridiques qui lui étaient soumises étaient complexes, celles-ci étant notamment mêlées à d'éventuelles violations de la loi sur les placements collectifs de capitaux. La prise de mandat impliquait pour l’avocat de travailler dans l’urgence, compte tenu des délais impartis par le juge d’instruction pour produire des documents complémentaires. Les opérations de l'intimé ont consisté en un examen de documents, certains volumineux, une conférence de deux heures et demie avec le client le 10 septembre 2010, un examen de différents courriels et un contact avec le précédent conseil du recourant. Conformément à la jurisprudence, l'intimé avait préalablement demandé à son client une provision de 10'000 fr. plus TVA. L'intimé indique avoir consenti environ huit heures à ce mandat. Compte tenu des opérations susmentionnées, il y a lieu d'admettre que cette durée est correcte. Le recourant n'entreprend pas de démontrer le contraire. Alors qu'il promettait, par courriel du 10 juin 2011, le paiement de la facture en souffrance de l'intimé, il soutient dans son recours que ce dernier n'aurait effectué aucune prestation en sa faveur, sous réserve éventuellement d'un entretien d'une heure et demie, et présente une vision unilatérale des faits ne reposant sur rien. Compte tenu du tarif horaire retenu par le premier juge – 400 fr. –, admissible vu la teneur du mandat et l'expérience de cet avocat, le montant réclamé par l'intimé (cf. note d'honoraires du 13 octobre 2010 et liste des opérations du 4 octobre 2012 à l'attention du président de la Chambre des avocats), soit 3'465 fr., correspond à huit heures et quarante minutes de travail. Ce montant apparaît correct au regard de l'estimation de l'intimé de son temps de travail d'environ huit heures. Il y a lieu d'y ajouter la TVA (à 8% et non à 7,6% comme retenu par le juge modérateur), par 277 fr. 20, ce qui donne un montant total de 3'742 fr. 20. L'intimé n'ayant pas recouru, le montant arrêté par l'autorité de modération, inférieur, de 3'728 fr. 30, peut ainsi être confirmé. Dès lors que le juge modérateur doit se limiter à taxer les opérations portées en compte au regard des prestations effectivement fournies par l’avocat (JT 1990 III 66 c. 2a; Jomini, ibidem, n. 6, p. 4; Diagne, La procédure de modération des honoraires de l'avocat, thèse, Lausanne 2012, p. 224 § 3), on ne peut faire grief au premier juge d’avoir écarté les reproches formulés par le recourant sur la façon dont l’intimé a réalisé son mandat et sur d'éventuelles violations de l’interdiction d’un conflit d’intérêts et du secret professionnel. d) Par ailleurs, c'est à bon droit que le premier juge a déclaré irrecevable la conclusion du recourant tendant à ce que Me Z.________ soit condamné à lui restituer sans délai tous les documents qu'il a reçus de sa part et à garder confidentielles toutes les informations y afférentes s'agissant d'une procédure de modération. Pareille conclusion doit également être déclarée irrecevable dans le cadre du présent recours.</w:t>
      </w:r>
    </w:p>
    <w:p>
      <w:r>
        <w:rPr>
          <w:b/>
        </w:rPr>
        <w:t>E. 4</w:t>
      </w:r>
    </w:p>
    <w:p>
      <w:r>
        <w:t>a) En conclusion, le recours doit être rejeté et le prononcé entrepris confirmé. b) Les frais judiciaires de deuxième instance, arrêtés à 200 fr. (art. 75 al. 1 TFJC [tarif des frais judiciaires civils du 28 septembre 2010, RSV 270.11.5]), sont mis à la charge du recourant qui succombe (art. 49 al. 1 LPA-VD). c) L'intimé n'ayant pas été invité à se déterminer, il n'y a pas lieu à l'allocation de dépens. Par ces motifs, la Chambre des recours civile du Tribunal cantonal, statuant à huis clos, prononce : I. Le recours est rejeté. II. Le prononcé est confirmé. III. Les frais judiciaires de deuxième instance, arrêtés à 200 fr. (deux cents francs), sont mis à la charge du recourant U.________. IV. L'arrêt motivé est exécutoire. Le président :               La greffière : Du 16 avril 2013 Le dispositif de l'arrêt qui précède est communiqué par écrit aux intéressés. La greffière : Du L'arrêt qui précède, dont la rédaction a été approuvée à huis clos, est notifié en expédition complète, par l'envoi de photocopies, à : ‑ M. U.________, ‑ 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