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288 vom 8. April 2013</w:t>
      </w:r>
    </w:p>
    <w:p>
      <w:r>
        <w:t>VD Tribunal cantonal, 2013-04-08, FR</w:t>
      </w:r>
    </w:p>
    <w:p>
      <w:r>
        <w:rPr>
          <w:b/>
        </w:rPr>
        <w:t xml:space="preserve">Quelle: </w:t>
      </w:r>
      <w:r>
        <w:t>https://mcp.opencaselaw.ch/entscheid/vd_findinfo_HC___2013___288</w:t>
      </w:r>
    </w:p>
    <w:p>
      <w:r>
        <w:t>FR: VD_FINDINFO HC / 2013 / 288 du 8 avril 2013</w:t>
      </w:r>
    </w:p>
    <w:p>
      <w:r>
        <w:t>IT: VD_FINDINFO HC / 2013 / 288 del 8 aprile 2013</w:t>
      </w:r>
    </w:p>
    <w:p>
      <w:pPr>
        <w:pStyle w:val="Heading2"/>
      </w:pPr>
      <w:r>
        <w:t>Regeste</w:t>
      </w:r>
    </w:p>
    <w:p>
      <w:r>
        <w:t>MESURE PROVISIONNELLE, REVENU, OBLIGATION D'ENTRETIEN | 176 al. 1 ch. 1 CC, 176 CC, 276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3</w:t>
      </w:r>
    </w:p>
    <w:p>
      <w:r>
        <w:t>L'appelant soutient dans le seul moyen qu'il invoque que l'ordonnance entreprise contient une erreur de calcul en ce sens que le premier juge a admis qu'il ne percevait plus un revenu de 1'074 fr., devant être soustrait de ses gains mensuels totaux de 11'972 fr., mais a retenu un nouveau revenu mensuel de 11'284 fr. 20, en lieu et place de 10'898 fr. (11'972 fr. – 1'074 fr.). C'est à tort que l'appelant entrevoit une erreur de calcul dans l'ordonnance entreprise. En effet, les pièces au dossier attestent que l'appelant a perçu en 2012 de son employeur, [...], un revenu mensuel brut de 12'000 fr., hors treizième salaire, soit un revenu mensuel net de 10'345 fr. 70. Annuellement, cela équivaut à un salaire de 124'148 fr. 20. L'appelant perçoit en outre un treizième salaire. Or, toutes les cotisations sociales ne sont pas prélevées sur le treizième salaire; seules l'AVS (5.15%), les PC familles (0.06%), l'AC solidarité (0.5%) et l'assurance perte de gain (0.44%) le sont. Ainsi, le treizième salaire net de l'appelant s'élève à 11'262 fr. (12'000 fr. – 738 fr. [6.15% de 12'000 fr.]). Si l'on additionne le salaire annuel net 2012 au treizième salaire net, le revenu annuel net total de l'appelant se monte à 135'410 fr. 40 (124'148 fr. 20 + 11'262 fr.), ce qui équivaut mensuellement à un revenu de 11'284 fr. 20, comme retenu à juste titre par le premier juge. Les minima vitaux des parties n'étant pas contestés, la pension telle qu'arrêtée par le premier juge doit ainsi être confirmée.</w:t>
      </w:r>
    </w:p>
    <w:p>
      <w:r>
        <w:rPr>
          <w:b/>
        </w:rPr>
        <w:t>E. 4</w:t>
      </w:r>
    </w:p>
    <w:p>
      <w:r>
        <w:t>En conclusion, l'appel doit être rejeté en application de la procédure de l'art. 312 al. 1 CPC et l'ordonnance entreprise confirmée. Les frais judiciaires de deuxième instance, arrêtés à 600 fr. (art. 65 al. 2 TFJC [tarif des frais judiciaires civils du 28 septembre 2010; RSV 270.11.5]), sont mis à la charge de l'appelant qui succombe (art. 106 al. 2 CPC). Il n'y a pas lieu à l'allocation de dépens de deuxième instance, l'intimée n'ayant pas été invitée à se déterminer. Par ces motifs, la juge déléguée de la Cour d’appel civile du Tribunal cantonal, statuant à huis clos, en application de l'art. 312 al. 1 CPC, prononce : I. L’appel est rejeté. II. Le jugement est confirmé. III. Les frais judiciaires de deuxième instance, arrêtés à 600 fr. (six cents francs), sont mis à la charge de l'appelant I.L.________. IV. L'arrêt motivé est exécutoire. La juge déléguée : La greffière : Du</w:t>
      </w:r>
    </w:p>
    <w:p>
      <w:r>
        <w:rPr>
          <w:b/>
        </w:rPr>
        <w:t>E. 9</w:t>
      </w:r>
    </w:p>
    <w:p>
      <w:r>
        <w:t>avril 2013 Le dispositif de l'arrêt qui précède est communiqué par écrit aux intéressés. La greffière : Du L'arrêt qui précède, dont la rédaction a été approuvée à huis clos, est notifié en expédition complète, par l'envoi de photocopies, à : ‑ Me Mireille Loroch (pour I.L.________), ‑ Me Marc Cheseaux (pour E.L.________).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