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 vom 11. Dezember 2012</w:t>
      </w:r>
    </w:p>
    <w:p>
      <w:r>
        <w:t>VD Tribunal cantonal, 2012-12-11, FR</w:t>
      </w:r>
    </w:p>
    <w:p>
      <w:r>
        <w:rPr>
          <w:b/>
        </w:rPr>
        <w:t xml:space="preserve">Quelle: </w:t>
      </w:r>
      <w:r>
        <w:t>https://mcp.opencaselaw.ch/entscheid/vd_findinfo_HC___2013___26</w:t>
      </w:r>
    </w:p>
    <w:p>
      <w:r>
        <w:t>FR: VD_FINDINFO HC / 2013 / 26 du 11 décembre 2012</w:t>
      </w:r>
    </w:p>
    <w:p>
      <w:r>
        <w:t>IT: VD_FINDINFO HC / 2013 / 26 del 11 dicembre 2012</w:t>
      </w:r>
    </w:p>
    <w:p>
      <w:pPr>
        <w:pStyle w:val="Heading2"/>
      </w:pPr>
      <w:r>
        <w:t>Regeste</w:t>
      </w:r>
    </w:p>
    <w:p>
      <w:r>
        <w:t>DOMMAGE IRRÉPARABLE, DÉCISION D'IRRECEVABILITÉ | 319 let. b ch. 2 CPC (CH)</w:t>
      </w:r>
    </w:p>
    <w:p>
      <w:pPr>
        <w:pStyle w:val="Heading2"/>
      </w:pPr>
      <w:r>
        <w:t>Volltext</w:t>
      </w:r>
    </w:p>
    <w:p>
      <w:r>
        <w:t>Vaud Tribunal cantonal Chambre des recours civile 11.12.2012 HC / 2013 / 26</w:t>
      </w:r>
    </w:p>
    <w:p>
      <w:r>
        <w:t>DOMMAGE IRRÉPARABLE, DÉCISION D'IRRECEVABILITÉ | 319 let. b ch. 2 CPC (CH)</w:t>
      </w:r>
    </w:p>
    <w:p>
      <w:r>
        <w:t>TRIBUNAL CANTONAL PT06.030713-12232 437 CHAMBRE DES RECOURS CIVILE _________________________________________ Arrêt du 11 décembre 2012 ______________________ Présidence de               M. Creux , président Juges :              MM. Colelough et Pellet Greffier : Mme              Nantermod Bernard ***** Art. 319 let. b ch. 2 CPC Vu le jugement incident rendu le 13 novembre 2012 par le Président du Tribunal civil de l'arrondissement de l'Est vaudois dans la cause divisant S.________ , requérante, d'avec B.________ , intimé, qui admettait la requête de réforme de S.________ (I), autorisait la prénommée à se réformer à la veille du jour où la requête de relief déposée par B.________ lui a été notifiée, soit à la date du 12 novembre 2010, et lui impartissait un délai de dix jours dès notification du jugement pour se déterminer sur dite requête (II), disait que la requérante n'était pas tenue de verser des dépens frustraires (III); arrêtait les frais de la présente décision à 600 fr. à la charge de la requérante (IV), disait que B.________ était le débiteur de S.________, TVA en sus sur 1'500 fr. à titre de dépens de l'incident (V) et rejetait toutes autres ou plus amples conclusions (VI), vu l'appel d'emblée motivé exercé le 23 novembre 2012 par B.________, vu la conversion de l'appel en recours – le jugement indiquait à tort qu'un appel au sens des art. 308 ss CPC (Code de procédure civile suisse du 19 décembre 2008; RS 271) pouvait être formé dans un délai de dix jours dès sa notification –, le jugement entrepris étant en réalité une décision d'ordre procédural de première instance (art. 319 let. b CPC) exclue de par sa nature du champ de l'appel (Jeandin, CPC commenté, n. 10 ad art. 319 let. b CPC), vu les pièces au dossier; attendu que la décision querellée serait susceptible d'un recours immédiat stricto sensu pour autant que le recourant soit menacé d'un dommage difficilement réparable au sens de l'art. 319 let. b ch. 2 CPC, qu'en l'espèce le recourant, conservant tous ses moyens dans le cadre de la procédure au fond qui se poursuit après l'admission de la requête en réforme, n'établit pas être menacé d'un tel préjudice, que le recours doit en conséquence être déclaré irrecevable; attendu que le présent 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Laurent Maire (pour B.________), ‑ Me Raymond Didisheim (pour S.________). La Chambre des recours civile considère que la valeur litigieuse est de 540'334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