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259 vom 28. März 2013</w:t>
      </w:r>
    </w:p>
    <w:p>
      <w:r>
        <w:t>VD Tribunal cantonal, 2013-03-28, FR</w:t>
      </w:r>
    </w:p>
    <w:p>
      <w:r>
        <w:rPr>
          <w:b/>
        </w:rPr>
        <w:t xml:space="preserve">Quelle: </w:t>
      </w:r>
      <w:r>
        <w:t>https://mcp.opencaselaw.ch/entscheid/vd_findinfo_HC___2013___259</w:t>
      </w:r>
    </w:p>
    <w:p>
      <w:r>
        <w:t>FR: VD_FINDINFO HC / 2013 / 259 du 28 mars 2013</w:t>
      </w:r>
    </w:p>
    <w:p>
      <w:r>
        <w:t>IT: VD_FINDINFO HC / 2013 / 259 del 28 marzo 2013</w:t>
      </w:r>
    </w:p>
    <w:p>
      <w:pPr>
        <w:pStyle w:val="Heading2"/>
      </w:pPr>
      <w:r>
        <w:t>Regeste</w:t>
      </w:r>
    </w:p>
    <w:p>
      <w:r>
        <w:t>ASSISTANCE JUDICIAIRE, EXPERTISE, CHANCES DE SUCCÈS, ADMINISTRATION DES PREUVES, MOYEN DE PREUVE | 117 CPC (CH), 117 let. a CPC (CH), 117 let. b CPC (CH), 39 al. 1 CDPJ, 39 al. 3 CDPJ</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juge instructeur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une partie qui y a intérêt (art. 59 al. 2 let. a CPC), le recours est recevable à la forme.</w:t>
      </w:r>
    </w:p>
    <w:p>
      <w:r>
        <w:rPr>
          <w:b/>
        </w:rPr>
        <w:t>E. 2</w:t>
      </w:r>
    </w:p>
    <w:p>
      <w:r>
        <w:t>Le recours peut être formé pour violation du droit et constatation manifestement inexacte des faits (art. 320 CPC). L’autorité de recours dispose d’un plein pouvoir d’examen s’agissant de la violation du droit (Spohler, in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ème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en premier lieu que la mesure d’instruction requise est pertinente et utile, que le premier juge l’avait admise dans le cadre de la procédure au fond et qu’elle découle des droits consacrés par l’art. 170 al. 2 CC (Code civil suisse du 10 décembre 1907; RS 210), de sorte que c'est à tort que le premier juge lui a refusé le bénéfice de l'assistance judiciaire. b) Le droit à l’assistance judiciaire est garanti par l’art. 29 al. 3 Cst. (Constitution fédérale du 18 avril 1999; RS 101). En vertu de cette disposition, toute personne qui ne dispose pas de ressources suffisantes a droit, à moins que sa cause ne paraisse dépourvue de toute chance de succès, à l’assistance judiciaire gratuite. D’après la jurisprudence, un procès est dénué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dénué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c) En l’espèce, le premier juge a considéré, à juste titre, qu’un plaideur raisonnable n’engagerait pas les frais d’expertise pour lesquelles la recourante sollicite l’assistance judiciaire. Il n’apparaît en effet pas qu’une expertise comptable serait de nature à mettre en évidence des revenus plus élevés d'A.Z.________; les affirmations de la recourante selon lesquelles ce dernier réaliserait des gains mensuels de l’ordre de 7’400 fr. par mois ne reposent sur aucun élément tangible et ne correspondent en rien aux revenus moyens dans la profession de chauffeur de taxi. En outre, avec le premier juge, il faut admettre que l’incidence de l’expertise sur la fixation de la contribution d’entretien de l’enfant C.________ sera quoi qu’il en soit très faible, compte tenu de la proposition transactionnelle formulée par A.Z.________, la recourante ayant renoncé à une rente pour elle-même. Enfin, comme le relève à bon escient le premier juge, il paraît effectivement utile de tenter avant toute chose la conciliation sur cette question, ce qui permettra le cas échéant un accord complet dans le cadre de la procédure ultérieure de divorce. Pour le surplus, c’est en vain que la recourante se prévaut de l’acceptation de la mesure d’instruction par le juge des mesures protectrices de l’union conjugale, dès lors qu'elle devait à l’origine financer elle-même cette expertise.</w:t>
      </w:r>
    </w:p>
    <w:p>
      <w:r>
        <w:rPr>
          <w:b/>
        </w:rPr>
        <w:t>E. 4</w:t>
      </w:r>
    </w:p>
    <w:p>
      <w:r>
        <w:t>Dans un second moyen, la recourante soutient que "c’est à tort et au mépris des règles de la bonne foi" que le Président du Tribunal civil lui oppose "des concessions effectuées à titre transactionnel, au demeurant caduques, pour dénier toute pertinence à la mesure probatoire envisagée et refuser l’assistance judiciaire". A nouveau, la décision attaquée est sainement motivée. Le premier juge a constaté, compte tenu des caractéristiques du litige, que plutôt qu’une mesure d’instruction onéreuse, l’examen préalable des conditions d’un divorce à l’amiable était préférable, en raison de la convention dores et déjà signée par les parties, même si elle avait été ultérieurement dénoncée. Cette motivation est convaincante. Un plaideur raisonnable n’engagerait pas de frais importants d’expertise, avant de connaître le sort réservé à la modification de la convention sur les effets accessoires du divorce. Mal fondé, le moyen de la recourante doit être rejeté.</w:t>
      </w:r>
    </w:p>
    <w:p>
      <w:r>
        <w:rPr>
          <w:b/>
        </w:rPr>
        <w:t>E. 5</w:t>
      </w:r>
    </w:p>
    <w:p>
      <w:r>
        <w:t>La recourante allègue encore que les critères de l’art. 117 CPC n’ont pas été suffisamment distingués.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En l’espèce le premier juge a admis (alors que cela est expliqué notamment par le loyer très élevé de la recourante) qu’elle ne disposait pas des moyens nécessaires pour effectuer l’avance des frais d’expertise et n’a donc pas confondu les conditions d’octroi prévues à l’art. 117 CPC. Il a toutefois considéré que la mesure d’instruction requise n’apparaissait pas nécessaire et qu’un plaideur raisonnable ne la financerait pas, ce qui correspond à la condition posée par l'art. 117 let. b CPC, puisque l’assistance judiciaire n’est demandée que pour cette opération. Dès lors que l'art. 117 CPC pose deux conditions cumulatives, c’est à juste titre que l’assistance judiciaire a été refusée.</w:t>
      </w:r>
    </w:p>
    <w:p>
      <w:r>
        <w:rPr>
          <w:b/>
        </w:rPr>
        <w:t>E. 6</w:t>
      </w:r>
    </w:p>
    <w:p>
      <w:r>
        <w:t>Enfin, la recourante se prévaut de l’art. 39 al. 2 CDPJ pour soutenir que le Président Eric Eckert n’aurait pas dû traiter la demande d’assistance judiciaire. La recourante se méprend toutefois sur la portée de cette disposition. En effet, l’art. 39 al. 1 CDPJ prévoit que c’est le juge saisi de la cause qui statue sur l’octroi de l’assistance judicaire lorsque, comme en l’espèce, la procédure est pendante. Si le juge refuse l’octroi de l’assistance judiciaire, il ne peut alors plus statuer sur le fond, conformément à ce que prévoit le second alinéa de cette même disposition. Il en résulte que le Président Eric Eckert ne pourra plus statuer dans la suite de la procédure de mesures protectrices de l'union conjugale, mais que la décision attaquée a été rendue valablement par ce magistrat.</w:t>
      </w:r>
    </w:p>
    <w:p>
      <w:r>
        <w:rPr>
          <w:b/>
        </w:rPr>
        <w:t>E. 7</w:t>
      </w:r>
    </w:p>
    <w:p>
      <w:r>
        <w:t>En conséquence, le recours doit être rejeté, en application de la procédure de l'art. 322 al. 1 CPC, et la décision entreprise confirmée. Les frais judicaires de deuxième instance, arrêtés à 100 fr. (art. 69 al. 1 TFJC [tarif des frais judiciaires civils du 28 septembre 2010; RSV 270.11.5], doivent être mis à la charge de la recourante qui succombe (art. 106 CPC). Il n’y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100 fr. (cents francs), sont mis à la charge de la recourante K.Z.________. IV. L'arrêt motivé est exécutoire. Le président :               La greffière : Du 28 mars 2013 Le dispositif de l'arrêt qui précède est communiqué par écrit aux intéressés. La greffière : Du L'arrêt qui précède, dont la rédaction a été approuvée à huis clos, est notifié en expédition complète, par l'envoi de photocopies, à : ‑ Me Laurent Maire (pour K.Z.________). La Chambre des recours civile considère que la valeur litigieuse est inférieur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