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252 vom 16. April 2013</w:t>
      </w:r>
    </w:p>
    <w:p>
      <w:r>
        <w:t>VD Tribunal cantonal, 2013-04-16, FR</w:t>
      </w:r>
    </w:p>
    <w:p>
      <w:r>
        <w:rPr>
          <w:b/>
        </w:rPr>
        <w:t xml:space="preserve">Quelle: </w:t>
      </w:r>
      <w:r>
        <w:t>https://mcp.opencaselaw.ch/entscheid/vd_findinfo_HC___2013___252</w:t>
      </w:r>
    </w:p>
    <w:p>
      <w:r>
        <w:t>FR: VD_FINDINFO HC / 2013 / 252 du 16 avril 2013</w:t>
      </w:r>
    </w:p>
    <w:p>
      <w:r>
        <w:t>IT: VD_FINDINFO HC / 2013 / 252 del 16 aprile 2013</w:t>
      </w:r>
    </w:p>
    <w:p>
      <w:pPr>
        <w:pStyle w:val="Heading2"/>
      </w:pPr>
      <w:r>
        <w:t>Regeste</w:t>
      </w:r>
    </w:p>
    <w:p>
      <w:r>
        <w:t>DROIT DE GARDE, RETRAIT DU DROIT DE GARDE | 176 al. 3 CC, 310 CC</w:t>
      </w:r>
    </w:p>
    <w:p>
      <w:pPr>
        <w:pStyle w:val="Heading2"/>
      </w:pPr>
      <w:r>
        <w:t>Erwägungen</w:t>
      </w:r>
    </w:p>
    <w:p>
      <w:r>
        <w:rPr>
          <w:b/>
        </w:rPr>
        <w:t>E. 1</w:t>
      </w:r>
    </w:p>
    <w:p>
      <w:r>
        <w:t>L'appel est recevable contre les ordonnance de mesures provisionnelles (art. 308 al. 1 let. b CPC [Code de procédure civile suisse du 19 décembre 2008, RS 272]), rendues dans les causes non patrimoniales ou dont la valeur litigieuse est supérieure à 10'000 fr. (art. 308 al. 2 CPC). Les mesures provisionnelles étant régies par la procédure sommaire, selon l'art. 248 let. d CPC, le délai pour l'introduction de l'appel est de dix jours (art. 314 al. 1 CPC). L'appel relève de la compétence d'un juge unique (art. 84 al. 2 LOJV [loi d'organisation judiciaire du 12 décembre 1989, RSV 173.01]). Formé en temps utile par une partie qui y a intérêt (art. 59 al. 2 let. a CPC) et portant sur des conclusions non patrimoniales, le présent 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 L'appel est principalement réformatoire. L'autorité d'appel peut toutefois à titre exceptionnel renvoyer la cause en première instance si un élément de la demande n'a pas été examiné ou si l'état de fait doit être complété sur des points essentiels (Tappy, Les voies de droit du nouveau Code de procédure civile,  JT 2010 III 148).</w:t>
      </w:r>
    </w:p>
    <w:p>
      <w:r>
        <w:rPr>
          <w:b/>
        </w:rPr>
        <w:t>E. 3</w:t>
      </w:r>
    </w:p>
    <w:p>
      <w:r>
        <w:t>a) L'appelante reproche au premier juge d'avoir prononcé le retrait du droit de garde, qui constitue une mesure d' ultima ratio , sur la base du signalement et des témoignages de la Dresse V.________, qui n'a plus revu N.________ depuis le 7 août 2012, ainsi que de F.________, qui ne connaît pas les enfants. Elle relève que ce signalement ne concerne que N.________ à l'exclusion de D.________. Le retrait du droit de garde serait en outre contraire aux conclusions des experts. b)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TF 5A_69/2011 du 27 février 2012 c. 2.1, in FamPra.ch 2012 p. 817). La règle fondamentale en ce domaine est l'intérêt de l'enfant, celui des parents étant relégué à l'arrière-plan.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(ATF 117 II 353 c. 3, JT 1994 I 183). A teneur de l'art. 310 al. 1 CC, lorsqu'elle ne peut éviter autrement que le développement de l'enfant ne soit compromis, l'autorité tutélaire retire l'enfant aux père et mère chez qui il se trouve et le place de façon appropriée. Selon l'art. 310 al. 2 CC, à la demande des père et mère ou de l'enfant, l'autorité prend les mêmes mesures lorsque les rapports entre eux sont si gravement atteints que le maintien de l'enfant dans la communauté familiale est devenu insupportable et que, selon toute prévision, d'autres moyens seraient inefficaces. La cause du retrait doit résider dans le fait que le développement corporel, intellectuel ou moral de l'enfant n'est pas assez protégé ou encouragé dans le milieu de ses père et mère ou dans celui où ceux-ci l'ont placé (Hegnauer, Droit suisse de la filiation,</w:t>
      </w:r>
    </w:p>
    <w:p>
      <w:r>
        <w:rPr>
          <w:b/>
        </w:rPr>
        <w:t>E. 4</w:t>
      </w:r>
    </w:p>
    <w:p>
      <w:r>
        <w:t>Au vu de ce qui précède, l'appel doit être admis et l'ordonnance entreprise réformée dans le sens des considérants. Si l'appelante obtient gain de cause, il y a lieu de s'écarter en équité de la règle selon laquelle les frais sont mis à la charge de la partie succombante (art. 106 al. 1 CPC). Le litige relève en effet du droit de la famille (art. 107 al. 1 let. c CPC), c'est à la suite de l'intervention d'un tiers que la décision de retrait de garde a été prise et l'intimé s'est finalement opposé lui aussi à une telle mesure. Il ne sera ainsi pas alloué de dépens de deuxième instance. L'équité exige également que les frais judiciaires soient laissés à la charge de l'Etat (art. 107 al. 2 CPC). Me Gloria Capt, conseil d'office de l'appelante, a produit une liste de ses opérations et débours, indiquant avoir consacré onze heures et dix-huit minutes à la procédure d'appel, ce qui paraît justifié au vu de l'activité déployée, et avoir engagé 54 fr. 95 de débours. Vu le tarif horaire de 180 fr. applicable (art. 2 al. 1 let. a RAJ [règlement sur l'assistance judiciaire en matière civile du 7 décembre 2010, RSV 211.02.3]), l'indemnité d'office sera arrêtée à 2'256 fr. 10, TVA et débours compris. La bénéficiaire de l'assistance judiciaire est, dans la mesure de l'art. 123 CPC, tenue au remboursement de l'indemnité au conseil d'office mis à la charge de l'Etat. Par ces motifs, le Juge délégué de la Cour d'appel civile du Tribunal cantonal, statuant à huis clos, prononce : I. L'appel est admis. II. L'ordonnance est réformée comme il suit aux chiffres I à IV de son dispositif : I à IV (supprimés) L'ordonnance est confirmée pour le surplus. III. L'indemnité d'office de Me Gloria Capt, conseil de l'appelante, est arrêtée à 2'256 fr. 10 (deux mille deux cent cinquante-six francs et dix centimes), TVA et débours compris. IV. La bénéficiaire de l'assistance judiciaire est, dans la mesure de l'art. 123 CPC, tenue au remboursement de l'indemnité au conseil d'office mis à la charge de l'Etat. V. L'arrêt est rendu sans frais judiciaires ni dépens de deuxième instance. VI. L'arrêt est exécutoire. Le juge délégué : La greffière : Du L'arrêt qui précède, dont la rédaction a été approuvée à huis clos, est notifié à : ‑ Me Gloria Capt, avocate (pour A.Y.________), ‑ Me Pierre-Yves Brandt, avocat (pour B.Y.________).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