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238 vom 27. Februar 2013</w:t>
      </w:r>
    </w:p>
    <w:p>
      <w:r>
        <w:t>VD Tribunal cantonal, 2013-02-27, FR</w:t>
      </w:r>
    </w:p>
    <w:p>
      <w:r>
        <w:rPr>
          <w:b/>
        </w:rPr>
        <w:t xml:space="preserve">Quelle: </w:t>
      </w:r>
      <w:r>
        <w:t>https://mcp.opencaselaw.ch/entscheid/vd_findinfo_HC___2013___238</w:t>
      </w:r>
    </w:p>
    <w:p>
      <w:r>
        <w:t>FR: VD_FINDINFO HC / 2013 / 238 du 27 février 2013</w:t>
      </w:r>
    </w:p>
    <w:p>
      <w:r>
        <w:t>IT: VD_FINDINFO HC / 2013 / 238 del 27 febbraio 2013</w:t>
      </w:r>
    </w:p>
    <w:p>
      <w:pPr>
        <w:pStyle w:val="Heading2"/>
      </w:pPr>
      <w:r>
        <w:t>Regeste</w:t>
      </w:r>
    </w:p>
    <w:p>
      <w:r>
        <w:t>ASSISTANCE JUDICIAIRE, AVOCAT D'OFFICE, INDEMNITÉ{EN GÉNÉRAL}, QUALITÉ{CARACTÉRISTIQUE}, MANDAT | 122 al. 1 let. a CPC (CH), 122 CPC (CH), 123 CPC (CH), 2 al. 1 RAJ</w:t>
      </w:r>
    </w:p>
    <w:p>
      <w:pPr>
        <w:pStyle w:val="Heading2"/>
      </w:pPr>
      <w:r>
        <w:t>Erwägungen</w:t>
      </w:r>
    </w:p>
    <w:p>
      <w:r>
        <w:rPr>
          <w:b/>
        </w:rPr>
        <w:t>E. 1</w:t>
      </w:r>
    </w:p>
    <w:p>
      <w:r>
        <w:t>Le recours est recevable contre les autres décisions et ordonnances d'instruction de première instance dans les cas prévu par la loi (art. 319 let. b ch. 1 CPC).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Formé en temps utile par une partie qui y a un intérêt digne de protection (art. 59 al. 2 let. a CPC),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b) Les pièces nouvelles produites par la recourante sont irrecevables (art. 326 al. 1 CPC).</w:t>
      </w:r>
    </w:p>
    <w:p>
      <w:r>
        <w:rPr>
          <w:b/>
        </w:rPr>
        <w:t>E. 3</w:t>
      </w:r>
    </w:p>
    <w:p>
      <w:r>
        <w:t>La recourante conteste tout d'abord le montant de l'indemnité accordée en faisant valoir en bref qu'avant de fonctionner comme conseil d'office, l'avocat G.________ a été son conseil de choix et qu'elle lui a versé deux provisions de 2'000 fr. chacune. Ce moyen de la recourante doit d'emblée être rejeté. En effet, ces provisions versées à Me G.________, antérieurement à l'octroi de l'assistance judiciaire, sont sans incidence sur la fixation de l'indemnité d'office pour la période du 18 septembre au 19 octobre 2012. Elles concernent la relation contractuelle ayant lié l'intimé et la recourante et c'est devant le juge civil ordinaire que celle-ci pourrait contester le cas échéant l'ampleur de la rémunération due pour les opérations effectuées par l'intimé avant sa désignation en qualité de conseil d'office.</w:t>
      </w:r>
    </w:p>
    <w:p>
      <w:r>
        <w:rPr>
          <w:b/>
        </w:rPr>
        <w:t>E. 4</w:t>
      </w:r>
    </w:p>
    <w:p>
      <w:r>
        <w:t>La recourante s'en prend ensuite indistinctement à la taxation opérée par le premier juge eu égard au temps consacré par l'intimé à son mandat d'office et à la qualité du travail de celui-ci. Elle relève notamment que la procédure de divorce introduite par l'intimé ne présentait pas de difficultés particulières, que l'activité de conseil d'office pour la période en cause a été surévaluée et que l'intimé a demandé à être relevé en temps inopportun.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pp. 621- 622). L'avocat d'office a droit au remboursement intégral de ses débours s'inscrivant dans le cadre de l'accomplissement normal de sa tâche, plus à une indemnité s'apparentant aux honoraires d'un avocat de choix, mais qui peut être inférieure à ces honoraires (ATF 122 I 1 c. 3a; ATF 117 la 22 c. 4a; TF 6B_745/2009 du 12 novembre 2009 c. 10.1; TF 6B_273/2009 du 2 juillet 2009 c. 2.1; TF 6B_960/2008 du 22 janvier 2009 c. 1.1;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précité c. 3a; TF 6B_745/2009 du 12 novembre 2009 c. 10.1; TF 6B_273/2009 du 2 juillet 2009 c. 2.1; TF 6B_102/2009 du 14 avril 2009 c. 2; TF 6B_960/2008 du 22 janvier 2009 c. 1.1;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p. 715; ATF 122 I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b) Une distinction s'impose entre la modération d'honoraires et la fixation de l'indemnité d'avocat d'office. En matière de modération, le juge de l’assistance judiciaire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CREC II 8 octobre 2009/198). Il n’a donc pas la compétence d’examiner les griefs de droit matériel, mais doit uniquement décider si les honoraires réclamés sont proportionnés aux services rendus, ce fractionnement de compétences étant admis par le Tribunal fédéral et la doctrine (TF 4P.131/2004 du 28 septembre 2004 c. 2 et réf. citées ; Bohnet/Martenet, Droit de la profession d'avocat, Berne 2009, n° 3002, pp. 1184-1185). En matière de fixation de l’indemnité d’avocat d’office, en revanche, le juge de l'assistance judiciaire n’a pas seulement à déterminer son montant comme le juge modérateur, mais également à allouer celui‑ci comme le juge civil saisi d’une action en paiement de ses honoraires par l’avocat. Comme retenu par la Cour de céans dans un arrêt récent (CREC 25 janvier 2013/29),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Cet examen s'impose d'autant plus que le client d’office n’a pas la qualité pour recourir au Tribunal fédéral contre la fixation de dite indemnité, vu qu’il est comptable vis-à-vis de l’Etat des montants que ce dernier a versés à son défenseur (Donzallaz, op. cit., n. 1780 ad art. 64 LTF, p. 718). D’un point de vue procédural, on doit toutefois constater que, le plus souvent, le client d’office ne participe pas à la procédure à l’issue de laquelle l’indemnité d’office est fixée, de sorte qu’il est empêché à ce stade d’invoquer des manquements de son conseil. On peut dès lors se demander s'il ne devrait pas à tout coup être interpellé par le juge de première instance. Quoi qu'il en soit, lorsque cette interpellation n'a pas eu lieu, dès lors que le pouvoir d’examen de la Chambre des recours civile est restreint et la production de pièces nouvelles prohibée, seule une annulation est de nature à permettre que soient pris en considération des manquements susceptibles de réduire la rémunération de l'avocat d'office. c) En l'espèce, on ne peut suivre la recourante lorsqu'elle soutient que les opérations effectuées par l'intimé entre le 18 septembre et le 19 octobre 2012 ont été surévaluées et qu'elles n'ont servi à rien. Il résulte du décompte des opérations produit au premier juge que l'indemnité litigieuse couvre essentiellement une étude de pièces et la préparation ainsi que la rédaction de déterminations circonstanciées (77 allégués nouveaux à introduire), accompagnées d'une quarantaine de pièces. Or, le nouveau conseil d'office de la recourante, nommé le 17 octobre 2012, a été en mesure de déposer le 19 octobre 2012, soit dans le délai imparti par le juge, des déterminations comprenant 80 allégués nouveaux, accompagnées d'un onglet de 42 pièces sous bordereau. Il est donc plus que vraisemblable que le travail effectué par l'intimé a été repris dans son ensemble par le nouveau conseil d'office. Cela est confirmé par les déclarations de la recourante elle-même qui expose dans son recours n'avoir eu qu'un échange téléphonique avec son nouveau conseil avant que celui-ci dépose l'acte de procédure précité. Le grief de la recourante sur ce point est dès lors infondé. Il en va de même des autres griefs de la recourante. Le mandat d'office n'a aucunement été résilié en temps inopportun. En cas de rupture du lien de confiance, le conseil d'office n'a pas d'autre choix que de demander à être relevé de sa mission. Ne pas le faire constituerait bien plutôt une mauvaise exécution du mandat. S'agissant enfin de la facturation de courriels à 45 fr. pour un quart d'heure de travail, le tarif appliqué est adéquat (180 fr./4) et le temps consacré à cette opération n'est pas manifestement exagéré, si l'on considère l'opération dans son ensemble. Il n'est aucunement besoin que le contenu de l'envoi ait une nature juridique pour que le conseil d'office puisse prétendre à une rémunération de son travail. Il s'ensuit que le nombre d'heures consacrées au mandat d'office de la recourante n'est pas excessif et que les pièces au dossier démontrent que le mandat a été correctement accompli, rien ne permettant de mettre en doute les choix tactiques et juridiques opérés par l'intimé dans cette affaire. Les intérêts de la recourante n'apparaissent avoir été lésés en aucune façon.</w:t>
      </w:r>
    </w:p>
    <w:p>
      <w:r>
        <w:rPr>
          <w:b/>
        </w:rPr>
        <w:t>E. 5</w:t>
      </w:r>
    </w:p>
    <w:p>
      <w:r>
        <w:t>Mal fondé, le recours doit en conséquence être rejeté en application de l'art. 322 al. 1 CPC et le prononcé entrepris confirmé. Le recours étant dépourvu de chance de succès, la requête d'assistance judiciaire doit être rejetée (art. 117 let. b CPC). Les frais judiciaires de deuxième instance, arrêtés à 200 fr. (art. 75 TFJC [tarif des frais judiciaires civils du 28 septembre 2010; RSV 270.11.5] par analogie), doivent être mis à la charge de la recourante qui succombe (art. 106 al. 1 CPC). Il n'y a pas lieu à l'allocation de dépens, l'intimé n'ayant pas été invité à se déterminer. Par ces motifs, la Chambre des recours civile du Tribunal cantonal, statuant à huis clos, en application de l'art. 322 al. 1 CPC, prononce : I. Le recours est rejeté. II. Le jugement est confirmé. III. La requête d'assistance judiciaire est rejetée. IV. Les frais judiciaires de deuxième instance, par 200 fr. (deux cents francs), sont mis à la charge de la recourante J.________. V. L'arrêt motivé est exécutoire. Le président :               La greffière : Du 28 février 2013 Le dispositif de l'arrêt qui précède est communiqué par écrit aux intéressés. La greffière : Du L'arrêt qui précède, dont la rédaction a été approuvée à huis clos, est notifié en expédition complète, par l'envoi de photocopies, à : ‑ Mme J.________, ‑ Me G.________. La Chambre des recours civile considère que la valeur litigieuse est de 2'197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