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237 vom 11. April 2013</w:t>
      </w:r>
    </w:p>
    <w:p>
      <w:r>
        <w:t>VD Tribunal cantonal, 2013-04-11, FR</w:t>
      </w:r>
    </w:p>
    <w:p>
      <w:r>
        <w:rPr>
          <w:b/>
        </w:rPr>
        <w:t xml:space="preserve">Quelle: </w:t>
      </w:r>
      <w:r>
        <w:t>https://mcp.opencaselaw.ch/entscheid/vd_findinfo_HC___2013___237</w:t>
      </w:r>
    </w:p>
    <w:p>
      <w:r>
        <w:t>FR: VD_FINDINFO HC / 2013 / 237 du 11 avril 2013</w:t>
      </w:r>
    </w:p>
    <w:p>
      <w:r>
        <w:t>IT: VD_FINDINFO HC / 2013 / 237 del 11 aprile 2013</w:t>
      </w:r>
    </w:p>
    <w:p>
      <w:pPr>
        <w:pStyle w:val="Heading2"/>
      </w:pPr>
      <w:r>
        <w:t>Regeste</w:t>
      </w:r>
    </w:p>
    <w:p>
      <w:r>
        <w:t>MESURE DE CONTRAINTE{DROIT DES ÉTRANGERS}, DÉTENTION AUX FINS D'EXPULSION, PROPORTIONNALITÉ, MOTIF DE DÉTENTION | 79 LEtr, 80 al. 6 let. a LEtr, 80 al. 6 LEtr, 80 LEtr, 30 al. 2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LOJV [loi d'organisation judiciaire du 12 décembre 1979; RSV 173.01] et art. 18 al. 3 let. c ROTC [règlement organique du Tribunal cantonal du 13 novembre 2007; RSV 173.31.1]). Déposé en temps utile par le recourant, qui y a un intérêt, le recours est recevable à la forme (art. 30 al. 2 LVLEtr).</w:t>
      </w:r>
    </w:p>
    <w:p>
      <w:r>
        <w:rPr>
          <w:b/>
        </w:rPr>
        <w:t>E. 2</w:t>
      </w:r>
    </w:p>
    <w:p>
      <w:r>
        <w:t>Le Juge de paix du district de Lausanne est l'autorité compétente en vertu des art. 17 et 20 LVLEtr. Saisie d'une réquisition du SPOP du 5 mars 2013, le premier juge a procédé à l'audition du recourant le même jour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6 mars 2013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Les pièces produites par le recourant sont recevables.</w:t>
      </w:r>
    </w:p>
    <w:p>
      <w:r>
        <w:rPr>
          <w:b/>
        </w:rPr>
        <w:t>E. 4</w:t>
      </w:r>
    </w:p>
    <w:p>
      <w:r>
        <w:t>Le recourant invoque la violation de l’art. 80 al. 6 LEtr en ce sens que le premier juge aurait injustement considéré que son renvoi était exécutable. a) Aux termes de l’art. 80 al. 6 LEtr, la détention est levée lorsque le motif de détention n’existe plus ou l’exécution du renvoi ou de l’expulsion s’avère impossible pour des raisons juridiques ou matérielles (let. a). Pour déterminer si le renvoi est possible, il y a lieu de faire un pronostic: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b) En l'occurrence, le recourant considère que ni son identité, ni son état de provenance n’ont pu être établi. Cependant, il ressort de l’état de fait du dossier que l’autorité consulaire de la Géorgie l’a identifié comme étant un ressortissant géorgien et que la Géorgie a accepté sa réadmission malgré l’absence de sa vraie identité. Il s’ensuit que le recourant entre dans les prévisions de l’art. 2 de I’Accord entre le Conseil fédéral suisse et le Gouvernement de la Géorgie relatif à la réadmission de personnes en situation irrégulière (RS 0.142.113.609) qui régit la réadmission des propres ressortissants des Etats contractants. Les art. 3 et 4 dudit Accord qui concernent la réadmission des ressortissants étrangers aux Etats cocontractants et qui limite (art. 4 al. 3) la demande de réadmission à deux ans pour un étranger en situation irrégulière ne lui sont d’aucun secours. Il s’ensuit que l’exécution du renvoi ne s’avère pas impossible pour des raisons juridiques, de sorte que la détention ne doit pas être levée (art. 80 al. 6 let. a LEtr a contrario).</w:t>
      </w:r>
    </w:p>
    <w:p>
      <w:r>
        <w:rPr>
          <w:b/>
        </w:rPr>
        <w:t>E. 5</w:t>
      </w:r>
    </w:p>
    <w:p>
      <w:r>
        <w:t>Pour le surplus, il ressort des pièces du dossier que le recourant a constamment refusé de retourner dans son pays d’origine et, lorsqu’il y a été contraint, s’y est opposé. Le refus de collaboration est manifeste, ce qui fonde sa détention administrative (ATF 130 lI 56; ATF 125 lI 369; ATF 122 II 49 rés. in JT 1998 I 95). Il ressort par ailleurs des déterminations du SPOP que les démarches entreprises en vue de l’exécution du renvoi du recourant se poursuivent sans désemparer. Quant au principe de proportionnalité, il est respecté, dès lors que le refoulement du recourant pourra manifestement être exécuté avant l’échéance du délai maximal de détention de 18 mois prévu par la loi. Le recourant ne critique d’ailleurs pas la décision du juge sous cet angle.</w:t>
      </w:r>
    </w:p>
    <w:p>
      <w:r>
        <w:rPr>
          <w:b/>
        </w:rPr>
        <w:t>E. 6</w:t>
      </w:r>
    </w:p>
    <w:p>
      <w:r>
        <w:t>Le recours doit ainsi être rejeté et l'ordonnance confirmée. L'arrêt peut être rendu sans frais.</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Frank Tièche a produit le 27 mars 2013 une liste des opérations effectuées devant la cour de céans annonçant 5h25 de travail et 10 fr. de débours. Cette liste peut être admise de sorte qu'il y a lieu de fixer l'indemnité d'office à 945 fr. pour ses honoraires (5h25 x 180 fr.), TVA par 75 fr. 60 en sus, plus 10 fr. de débours, soit une indemnité d'office totalisant 1'030 fr. 60. Par ces motifs, la Chambre des recours civile du Tribunal cantonal, statuant à huis clos, prononce : I. Le recours est rejeté. II. L'ordonnance est confirmée. III. L'arrêt est rendu sans frais. IV. L'indemnité d'office de Me Frank Tièche, conseil du recourant, est arrêtée à 1'030 fr. 60 (mille trente francs et soixante centimes), TVA et débours compris. V. L'arrêt motivé est exécutoire. Le président :               La greffière : Du</w:t>
      </w:r>
    </w:p>
    <w:p>
      <w:r>
        <w:rPr>
          <w:b/>
        </w:rPr>
        <w:t>E. 12</w:t>
      </w:r>
    </w:p>
    <w:p>
      <w:r>
        <w:t>avril 2013 Le dispositif de l'arrêt qui précède est communiqué par écrit aux intéressés. La greffière : Du L'arrêt qui précède, dont la rédaction a été approuvée à huis clos, est notifié en expédition complète, par l'envoi de photocopies, à : ‑ Me Frank Tièche (pour G.________),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