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236 vom 22. März 2013</w:t>
      </w:r>
    </w:p>
    <w:p>
      <w:r>
        <w:t>VD Tribunal cantonal, 2013-03-22, FR</w:t>
      </w:r>
    </w:p>
    <w:p>
      <w:r>
        <w:rPr>
          <w:b/>
        </w:rPr>
        <w:t xml:space="preserve">Quelle: </w:t>
      </w:r>
      <w:r>
        <w:t>https://mcp.opencaselaw.ch/entscheid/vd_findinfo_HC___2013___236</w:t>
      </w:r>
    </w:p>
    <w:p>
      <w:r>
        <w:t>FR: VD_FINDINFO HC / 2013 / 236 du 22 mars 2013</w:t>
      </w:r>
    </w:p>
    <w:p>
      <w:r>
        <w:t>IT: VD_FINDINFO HC / 2013 / 236 del 22 marzo 2013</w:t>
      </w:r>
    </w:p>
    <w:p>
      <w:pPr>
        <w:pStyle w:val="Heading2"/>
      </w:pPr>
      <w:r>
        <w:t>Regeste</w:t>
      </w:r>
    </w:p>
    <w:p>
      <w:r>
        <w:t>OBLIGATION D'ENTRETIEN, UNION CONJUGALE | 163 al. 1 CC,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JT 2010 III 115, p. 121). Les ordonnances de mesures protectrices étant régies par la procédure sommaire, selon l'art. 271 CPC, le délai pour l'introduction de l'appel est de dix jours (art. 314 al. 1 CPC). L'appel relève de la compétence d'un juge unique (art. 84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(ibidem, pp. 136-147). La doctrine est divisée sur le point de savoir si la maxime inquisitoire, applicable en mesures protectrices de l'union conjugale (art. 272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Hohl, Procédure civile, Tome II, 2 e éd., 2010, n. 2410, p. 437). Le Tribunal fédéral a approuvé cette interprétation de la loi (TF 4A_228/2012 du 28 août 2012 c. 2). Les parties peuvent toutefois faire valoir que le juge de première instance a violé la maxime inquisitoire en ne prenant pas en considération certains faits (Hohl, op. cit., n. 2414, p. 438). En l'espèce, l'appelant a produit trois pièces à l'appui de son écriture. Les pièces 1 et 3 ont déjà été produites en première instance, de sorte qu'elles ne sont pas nouvelles et font déjà partie du dossier. La pièce 2 correspond aux fiches de salaire de l'appelant pour les années 2009 à 2011. Dans la mesure où ces pièces n'ont pas été produites en première instance alors qu'elles auraient pu l'être, elles ne sont pas recevables. L'appelant a par ailleurs requis la production, par K.________, de l'entier des relevés périodiques de tous ses comptes bancaires ou postaux ouverts auprès de tout établissement suisse ou étranger pour la période du 30 juin au jour de la date de l'audience d'appel. Il fait valoir qu'il avait déjà formé cette requête en première instance et qu'il n'y a pas été donné suite. Il est vrai que, le 14 décembre 2012, l'appelant avait formulé cette réquisition et que le premier juge n'y a pas fait droit. Toutefois, l'appelant n'a pas réitéré cette requête lors de l'audience du 10 janvier 2013, de sorte qu'il y a lieu de considérer qu'il a renoncé à la production de ces pièces qui, au demeurant, ne sont pas utiles à la solution du présent litige. L'appelant a également requis la production, par B.________, de l'entier des relevés périodiques de son compte bancaire [...] pour la période du 30 juin au jour de la date de l'audience d'appel. Il ne sera pas donné suite à cette requête. L'appelant ne l'a en effet pas formulée en première instance et la cause est suffisamment instruite sur la question des ressources financières de l'intimée.</w:t>
      </w:r>
    </w:p>
    <w:p>
      <w:r>
        <w:rPr>
          <w:b/>
        </w:rPr>
        <w:t>E. 3</w:t>
      </w:r>
    </w:p>
    <w:p>
      <w:r>
        <w:t>La contribution d'entretien étant litigieuse en l'espèce, il convient de rappeler les principes applicables à sa détermination.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 b/bb). En présence de plusieurs enfants communs, un partage du montant disponible par 60 % en faveur de l'épouse et 40 % pour l'époux, voire par 2/3 – 1/3 échappe à la critique (TF 5A_236/2011 du 18 octobre 2011, c. 4.2.5).</w:t>
      </w:r>
    </w:p>
    <w:p>
      <w:r>
        <w:rPr>
          <w:b/>
        </w:rPr>
        <w:t>E. 3.1</w:t>
      </w:r>
    </w:p>
    <w:p>
      <w:r>
        <w:t>L'appelant reproche au premier juge d'avoir pris en compte, dans son revenu, le montant qu'il a touché en rémunération de ses heures supplémentaires. Il fait valoir que les heures supplémentaires sont généralement compensées et que ce n'est qu'à titre exceptionnel qu'elles ont été payées en 2012, son employeur voulant lui permettre de disposer de liquidités supplémentaires pour meubler son nouvel appartement, à la suite de sa séparation. Il estime ainsi que son revenu annuel net devrait être limité à 74'787 fr. 70 (6'232 fr. par mois), soit 80'000 fr. 10 – 5'212 fr. 40. Ses charges n'étant pas contestées, l'appelant soutient que son excédent ne serait ainsi que de 2'745 fr. 35 (6'232 fr. – 3'486 fr. 65) au lieu de 3'180 fr. 35 (6'667 fr. – 3'486 fr. 65). Le premier juge s'est fondé sur le certificat de salaire relatif à l'année 2012 ainsi que sur le décompte de salaires de la même année. Il ressort de cette dernière pièce qu'un montant de 5'212 fr. 40 a été payé à l'appelant au titre de paiement de ses heures supplémentaires. Contrairement à ce que soutient l'appelant, rien n'indique que le paiement des heures supplémentaires soit exceptionnel, de sorte que c'est à juste titre que le premier juge a pris en considération ce montant, qui fait partie intégrante du revenu de l'appelant. Ce grief doit dès lors être rejeté.</w:t>
      </w:r>
    </w:p>
    <w:p>
      <w:r>
        <w:rPr>
          <w:b/>
        </w:rPr>
        <w:t>E. 3.2</w:t>
      </w:r>
    </w:p>
    <w:p>
      <w:r>
        <w:t>Dans un second moyen, l'appelant s'en prend aux charges de l'intimée. Il fait valoir que K.________, la fille majeure du couple, devrait solliciter des prestations de l'assurance-chômage ou de l'aide sociale afin de couvrir son propre minimum vital et qu'il est erroné de l'exclure du calcul du minimum vital. Par ailleurs, l'appelant estime que le loyer de l'intimée est trop élevé et ne devrait pas dépasser 1'500 francs. En l'espèce, le premier juge a estimé que, dans la mesure où les revenus de la fille du couple ne couvraient pas son propre minimum vital, ils ne devaient pas être ajoutés aux revenus de l'intimée. La jeune fille étant au bénéfice d'une formation complète, elle était en mesure de réaliser un revenu couvrant ses charges minimales, de sorte que celles-ci ne devaient pas non plus être prises en compte dans le calcul du minimum vital de l'intimée. Ce raisonnement ne prête pas le flanc à la critique, de sorte qu'il y a lieu de le confirmer. En particulier, il n'y a pas lieu d'imputer à la fille du couple un revenu hypothétique pour l'ajouter aux revenus perçus par l'intimée. Par ailleurs, dans les circonstances actuelles, on ne saurait, comme l'a relevé le premier juge, tenir rigueur à l'intimée de ne pas avoir réduit sa charge de loyer. En effet, au vu du marché de l'immobilier et des revenus modestes qu'elle réalise, il ne lui était pas possible de trouver un nouvel appartement aussi rapidement. Au demeurant, on relèvera que cet appartement est destiné à loger trois personnes, si bien que, comparé au loyer de 1'345 fr. retenu dans les charges de l'appelant, qui occupe seul son appartement, celui de 2'400 fr. ne paraît pas excessif. Ce moyen est dès lors mal fondé.</w:t>
      </w:r>
    </w:p>
    <w:p>
      <w:r>
        <w:rPr>
          <w:b/>
        </w:rPr>
        <w:t>E. 3.3</w:t>
      </w:r>
    </w:p>
    <w:p>
      <w:r>
        <w:t>Dans un troisième moyen, l'appelant conteste les revenus de l'intimée. Il estime que celle-ci réalise des revenus non déclarés de l'ordre de 1'400 fr. par mois. Il se réfère à cet égard aux pièces 8 et 9 produites en première instance. En l'occurrence, les pièces 8 et 9 sont des notes manuscrites rédigées en portugais, dont on ignore qui les a établies et à quelle date. Comme telles, ces pièces ne revêtent aucune force probante. Les seuls revenus non déclarés réalisés par l'intimée ont été dûment pris en compte par le premier juge, à hauteur de quelque 700 fr. par année. Quant à l'existence d'autres revenus non déclarés de l'intimée, ceux-ci ne résultent ni de l'ordonnance attaquée, ni des pièces au dossier. Le premier juge a relevé que, vu l'âge de l'enfant F.________, lequel devait être capable de s'assumer seul dans une certaine mesure, on pouvait exiger de l'intimée qu'elle travaille à un taux de 70 % au maximum, de sorte que, même si un revenu hypothétique de 2'800 fr. devait lui être imputé (28 heures x 25 fr. de l'heure), il ne serait pas différent de celui qu'elle réalise actuellement. On ne peut que se rallier à ces considérations, de sorte que ce grief doit, lui aussi, être rejeté.</w:t>
      </w:r>
    </w:p>
    <w:p>
      <w:r>
        <w:rPr>
          <w:b/>
        </w:rPr>
        <w:t>E. 4</w:t>
      </w:r>
    </w:p>
    <w:p>
      <w:r>
        <w:t>Au vu de ce qui précède, l'appel doit être rejeté dans la procédure de l'art. 312 al. 1 CPC, et l'ordonnance entreprise confirmée. L'appel étant dénué dès l'abord de chances de succès, la requête d'assistance judiciaire doit être rejetée (art. 117 let. b CPC a contrario ). Les frais judiciaires de deuxième instance, arrêtés à 600 fr. (art. 65 al. 2 TFJC [tarif des frais judiciaires du 28 septembre 2010, RSV 270.11.5]), seront mis à la charge de l'appelant qui succombe (art. 106 al. 1 CPC). L'intimée n'ayant pas déposé de réponse, il ne lui sera pas alloué de dépens de deuxième instance.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J.________. V. L'arrêt motivé est exécutoire. Le juge délégué : La greffière : Du 27 mars 2013 Le dispositif de l'arrêt qui précède est communiqué par écrit aux intéressés. La greffière : Du L'arrêt qui précède, dont la rédaction a été approuvée à huis clos, est notifié en expédition complète, par l'envoi de photocopies, à : ‑ Me Pierre-Yves Court, avocat (pour J.________), ‑ Me Xavier Diserens, avocat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